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B32" w:rsidRPr="004B1C12" w:rsidRDefault="00573B32" w:rsidP="00573B32">
      <w:pPr>
        <w:pStyle w:val="Title"/>
      </w:pPr>
      <w:r w:rsidRPr="004B1C12">
        <w:t xml:space="preserve">Independent Reporting Mechanism (IRM): </w:t>
      </w:r>
      <w:r w:rsidR="002A2324">
        <w:t xml:space="preserve">Georgia </w:t>
      </w:r>
      <w:r w:rsidRPr="004B1C12">
        <w:t xml:space="preserve">End-of-Term Report </w:t>
      </w:r>
      <w:r w:rsidR="002A2324">
        <w:t>2017-2018</w:t>
      </w:r>
      <w:r w:rsidRPr="004B1C12">
        <w:t xml:space="preserve"> </w:t>
      </w:r>
    </w:p>
    <w:p w:rsidR="002A2324" w:rsidRDefault="002A2324" w:rsidP="002A2324">
      <w:r>
        <w:t>Lasha Gogidze, Independent Researcher</w:t>
      </w:r>
    </w:p>
    <w:p w:rsidR="00573B32" w:rsidRDefault="002A2324" w:rsidP="002A2324">
      <w:r>
        <w:t>Tamar Gzirishvili, Independent Researcher</w:t>
      </w:r>
    </w:p>
    <w:p w:rsidR="00800C86" w:rsidRPr="004B1C12" w:rsidRDefault="00800C86" w:rsidP="002A2324">
      <w:r>
        <w:t>Mariam Sikharulidze, Independent Researcher</w:t>
      </w:r>
    </w:p>
    <w:sdt>
      <w:sdtPr>
        <w:rPr>
          <w:rFonts w:ascii="Gill Sans" w:eastAsiaTheme="minorEastAsia" w:hAnsi="Gill Sans" w:cs="Gill Sans"/>
          <w:b w:val="0"/>
          <w:bCs w:val="0"/>
          <w:color w:val="222222"/>
          <w:sz w:val="22"/>
          <w:szCs w:val="20"/>
        </w:rPr>
        <w:id w:val="696058047"/>
        <w:docPartObj>
          <w:docPartGallery w:val="Table of Contents"/>
          <w:docPartUnique/>
        </w:docPartObj>
      </w:sdtPr>
      <w:sdtEndPr>
        <w:rPr>
          <w:szCs w:val="24"/>
        </w:rPr>
      </w:sdtEndPr>
      <w:sdtContent>
        <w:p w:rsidR="00573B32" w:rsidRPr="004B1C12" w:rsidRDefault="00573B32" w:rsidP="00573B32">
          <w:pPr>
            <w:pStyle w:val="TOCHeading"/>
            <w:rPr>
              <w:color w:val="000000" w:themeColor="text1"/>
            </w:rPr>
          </w:pPr>
          <w:r w:rsidRPr="004B1C12">
            <w:rPr>
              <w:color w:val="000000" w:themeColor="text1"/>
            </w:rPr>
            <w:t>Table of Contents</w:t>
          </w:r>
        </w:p>
        <w:p w:rsidR="003C6219" w:rsidRDefault="00573B32">
          <w:pPr>
            <w:pStyle w:val="TOC1"/>
            <w:tabs>
              <w:tab w:val="right" w:pos="9063"/>
            </w:tabs>
            <w:rPr>
              <w:rFonts w:asciiTheme="minorHAnsi" w:hAnsiTheme="minorHAnsi" w:cstheme="minorBidi"/>
              <w:noProof/>
              <w:color w:val="auto"/>
              <w:sz w:val="24"/>
              <w:lang w:eastAsia="ja-JP"/>
            </w:rPr>
          </w:pPr>
          <w:r w:rsidRPr="004B1C12">
            <w:fldChar w:fldCharType="begin"/>
          </w:r>
          <w:r w:rsidRPr="004B1C12">
            <w:instrText xml:space="preserve"> TOC \o "1-2" </w:instrText>
          </w:r>
          <w:r w:rsidRPr="004B1C12">
            <w:fldChar w:fldCharType="separate"/>
          </w:r>
          <w:r w:rsidR="003C6219">
            <w:rPr>
              <w:noProof/>
            </w:rPr>
            <w:t>Overview: Georgia</w:t>
          </w:r>
          <w:r w:rsidR="003C6219">
            <w:rPr>
              <w:noProof/>
            </w:rPr>
            <w:tab/>
          </w:r>
          <w:r w:rsidR="003C6219">
            <w:rPr>
              <w:noProof/>
            </w:rPr>
            <w:fldChar w:fldCharType="begin"/>
          </w:r>
          <w:r w:rsidR="003C6219">
            <w:rPr>
              <w:noProof/>
            </w:rPr>
            <w:instrText xml:space="preserve"> PAGEREF _Toc409220370 \h </w:instrText>
          </w:r>
          <w:r w:rsidR="003C6219">
            <w:rPr>
              <w:noProof/>
            </w:rPr>
          </w:r>
          <w:r w:rsidR="003C6219">
            <w:rPr>
              <w:noProof/>
            </w:rPr>
            <w:fldChar w:fldCharType="separate"/>
          </w:r>
          <w:r w:rsidR="003C6219">
            <w:rPr>
              <w:noProof/>
            </w:rPr>
            <w:t>2</w:t>
          </w:r>
          <w:r w:rsidR="003C6219">
            <w:rPr>
              <w:noProof/>
            </w:rPr>
            <w:fldChar w:fldCharType="end"/>
          </w:r>
        </w:p>
        <w:p w:rsidR="003C6219" w:rsidRDefault="003C6219">
          <w:pPr>
            <w:pStyle w:val="TOC1"/>
            <w:tabs>
              <w:tab w:val="right" w:pos="9063"/>
            </w:tabs>
            <w:rPr>
              <w:rFonts w:asciiTheme="minorHAnsi" w:hAnsiTheme="minorHAnsi" w:cstheme="minorBidi"/>
              <w:noProof/>
              <w:color w:val="auto"/>
              <w:sz w:val="24"/>
              <w:lang w:eastAsia="ja-JP"/>
            </w:rPr>
          </w:pPr>
          <w:r>
            <w:rPr>
              <w:noProof/>
            </w:rPr>
            <w:t>About the Assessment</w:t>
          </w:r>
          <w:r>
            <w:rPr>
              <w:noProof/>
            </w:rPr>
            <w:tab/>
          </w:r>
          <w:r>
            <w:rPr>
              <w:noProof/>
            </w:rPr>
            <w:fldChar w:fldCharType="begin"/>
          </w:r>
          <w:r>
            <w:rPr>
              <w:noProof/>
            </w:rPr>
            <w:instrText xml:space="preserve"> PAGEREF _Toc409220371 \h </w:instrText>
          </w:r>
          <w:r>
            <w:rPr>
              <w:noProof/>
            </w:rPr>
          </w:r>
          <w:r>
            <w:rPr>
              <w:noProof/>
            </w:rPr>
            <w:fldChar w:fldCharType="separate"/>
          </w:r>
          <w:r>
            <w:rPr>
              <w:noProof/>
            </w:rPr>
            <w:t>5</w:t>
          </w:r>
          <w:r>
            <w:rPr>
              <w:noProof/>
            </w:rPr>
            <w:fldChar w:fldCharType="end"/>
          </w:r>
        </w:p>
        <w:p w:rsidR="003C6219" w:rsidRDefault="003C6219">
          <w:pPr>
            <w:pStyle w:val="TOC1"/>
            <w:tabs>
              <w:tab w:val="right" w:pos="9063"/>
            </w:tabs>
            <w:rPr>
              <w:rFonts w:asciiTheme="minorHAnsi" w:hAnsiTheme="minorHAnsi" w:cstheme="minorBidi"/>
              <w:noProof/>
              <w:color w:val="auto"/>
              <w:sz w:val="24"/>
              <w:lang w:eastAsia="ja-JP"/>
            </w:rPr>
          </w:pPr>
          <w:r>
            <w:rPr>
              <w:noProof/>
            </w:rPr>
            <w:t>Commitment Implementation</w:t>
          </w:r>
          <w:r>
            <w:rPr>
              <w:noProof/>
            </w:rPr>
            <w:tab/>
          </w:r>
          <w:r>
            <w:rPr>
              <w:noProof/>
            </w:rPr>
            <w:fldChar w:fldCharType="begin"/>
          </w:r>
          <w:r>
            <w:rPr>
              <w:noProof/>
            </w:rPr>
            <w:instrText xml:space="preserve"> PAGEREF _Toc409220372 \h </w:instrText>
          </w:r>
          <w:r>
            <w:rPr>
              <w:noProof/>
            </w:rPr>
          </w:r>
          <w:r>
            <w:rPr>
              <w:noProof/>
            </w:rPr>
            <w:fldChar w:fldCharType="separate"/>
          </w:r>
          <w:r>
            <w:rPr>
              <w:noProof/>
            </w:rPr>
            <w:t>7</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1. Adapting the Public Service Hall to the needs of people with disabilities</w:t>
          </w:r>
          <w:r>
            <w:rPr>
              <w:noProof/>
            </w:rPr>
            <w:tab/>
          </w:r>
          <w:r>
            <w:rPr>
              <w:noProof/>
            </w:rPr>
            <w:fldChar w:fldCharType="begin"/>
          </w:r>
          <w:r>
            <w:rPr>
              <w:noProof/>
            </w:rPr>
            <w:instrText xml:space="preserve"> PAGEREF _Toc409220373 \h </w:instrText>
          </w:r>
          <w:r>
            <w:rPr>
              <w:noProof/>
            </w:rPr>
          </w:r>
          <w:r>
            <w:rPr>
              <w:noProof/>
            </w:rPr>
            <w:fldChar w:fldCharType="separate"/>
          </w:r>
          <w:r>
            <w:rPr>
              <w:noProof/>
            </w:rPr>
            <w:t>11</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2. Launch of the unified healthcare system information portal</w:t>
          </w:r>
          <w:r>
            <w:rPr>
              <w:noProof/>
            </w:rPr>
            <w:tab/>
          </w:r>
          <w:r>
            <w:rPr>
              <w:noProof/>
            </w:rPr>
            <w:fldChar w:fldCharType="begin"/>
          </w:r>
          <w:r>
            <w:rPr>
              <w:noProof/>
            </w:rPr>
            <w:instrText xml:space="preserve"> PAGEREF _Toc409220374 \h </w:instrText>
          </w:r>
          <w:r>
            <w:rPr>
              <w:noProof/>
            </w:rPr>
          </w:r>
          <w:r>
            <w:rPr>
              <w:noProof/>
            </w:rPr>
            <w:fldChar w:fldCharType="separate"/>
          </w:r>
          <w:r>
            <w:rPr>
              <w:noProof/>
            </w:rPr>
            <w:t>13</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3. Introduction of electronic licensing system in the field of natural resource application</w:t>
          </w:r>
          <w:r>
            <w:rPr>
              <w:noProof/>
            </w:rPr>
            <w:tab/>
          </w:r>
          <w:r>
            <w:rPr>
              <w:noProof/>
            </w:rPr>
            <w:fldChar w:fldCharType="begin"/>
          </w:r>
          <w:r>
            <w:rPr>
              <w:noProof/>
            </w:rPr>
            <w:instrText xml:space="preserve"> PAGEREF _Toc409220375 \h </w:instrText>
          </w:r>
          <w:r>
            <w:rPr>
              <w:noProof/>
            </w:rPr>
          </w:r>
          <w:r>
            <w:rPr>
              <w:noProof/>
            </w:rPr>
            <w:fldChar w:fldCharType="separate"/>
          </w:r>
          <w:r>
            <w:rPr>
              <w:noProof/>
            </w:rPr>
            <w:t>16</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4. Creation of spatial (geographic) data web-portal for the energy sector</w:t>
          </w:r>
          <w:r>
            <w:rPr>
              <w:noProof/>
            </w:rPr>
            <w:tab/>
          </w:r>
          <w:r>
            <w:rPr>
              <w:noProof/>
            </w:rPr>
            <w:fldChar w:fldCharType="begin"/>
          </w:r>
          <w:r>
            <w:rPr>
              <w:noProof/>
            </w:rPr>
            <w:instrText xml:space="preserve"> PAGEREF _Toc409220376 \h </w:instrText>
          </w:r>
          <w:r>
            <w:rPr>
              <w:noProof/>
            </w:rPr>
          </w:r>
          <w:r>
            <w:rPr>
              <w:noProof/>
            </w:rPr>
            <w:fldChar w:fldCharType="separate"/>
          </w:r>
          <w:r>
            <w:rPr>
              <w:noProof/>
            </w:rPr>
            <w:t>19</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5. Creation of innovation ecosystem</w:t>
          </w:r>
          <w:r>
            <w:rPr>
              <w:noProof/>
            </w:rPr>
            <w:tab/>
          </w:r>
          <w:r>
            <w:rPr>
              <w:noProof/>
            </w:rPr>
            <w:fldChar w:fldCharType="begin"/>
          </w:r>
          <w:r>
            <w:rPr>
              <w:noProof/>
            </w:rPr>
            <w:instrText xml:space="preserve"> PAGEREF _Toc409220377 \h </w:instrText>
          </w:r>
          <w:r>
            <w:rPr>
              <w:noProof/>
            </w:rPr>
          </w:r>
          <w:r>
            <w:rPr>
              <w:noProof/>
            </w:rPr>
            <w:fldChar w:fldCharType="separate"/>
          </w:r>
          <w:r>
            <w:rPr>
              <w:noProof/>
            </w:rPr>
            <w:t>21</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6. Electronic portal for registering and disposal of state property – Customer’s Module</w:t>
          </w:r>
          <w:r>
            <w:rPr>
              <w:noProof/>
            </w:rPr>
            <w:tab/>
          </w:r>
          <w:r>
            <w:rPr>
              <w:noProof/>
            </w:rPr>
            <w:fldChar w:fldCharType="begin"/>
          </w:r>
          <w:r>
            <w:rPr>
              <w:noProof/>
            </w:rPr>
            <w:instrText xml:space="preserve"> PAGEREF _Toc409220378 \h </w:instrText>
          </w:r>
          <w:r>
            <w:rPr>
              <w:noProof/>
            </w:rPr>
          </w:r>
          <w:r>
            <w:rPr>
              <w:noProof/>
            </w:rPr>
            <w:fldChar w:fldCharType="separate"/>
          </w:r>
          <w:r>
            <w:rPr>
              <w:noProof/>
            </w:rPr>
            <w:t>24</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7. Development of the Freedom of Information Law</w:t>
          </w:r>
          <w:r>
            <w:rPr>
              <w:noProof/>
            </w:rPr>
            <w:tab/>
          </w:r>
          <w:r>
            <w:rPr>
              <w:noProof/>
            </w:rPr>
            <w:fldChar w:fldCharType="begin"/>
          </w:r>
          <w:r>
            <w:rPr>
              <w:noProof/>
            </w:rPr>
            <w:instrText xml:space="preserve"> PAGEREF _Toc409220379 \h </w:instrText>
          </w:r>
          <w:r>
            <w:rPr>
              <w:noProof/>
            </w:rPr>
          </w:r>
          <w:r>
            <w:rPr>
              <w:noProof/>
            </w:rPr>
            <w:fldChar w:fldCharType="separate"/>
          </w:r>
          <w:r>
            <w:rPr>
              <w:noProof/>
            </w:rPr>
            <w:t>26</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8. Development of a monitoring and assessment system of the Government policy and legislative acts</w:t>
          </w:r>
          <w:r>
            <w:rPr>
              <w:noProof/>
            </w:rPr>
            <w:tab/>
          </w:r>
          <w:r>
            <w:rPr>
              <w:noProof/>
            </w:rPr>
            <w:fldChar w:fldCharType="begin"/>
          </w:r>
          <w:r>
            <w:rPr>
              <w:noProof/>
            </w:rPr>
            <w:instrText xml:space="preserve"> PAGEREF _Toc409220380 \h </w:instrText>
          </w:r>
          <w:r>
            <w:rPr>
              <w:noProof/>
            </w:rPr>
          </w:r>
          <w:r>
            <w:rPr>
              <w:noProof/>
            </w:rPr>
            <w:fldChar w:fldCharType="separate"/>
          </w:r>
          <w:r>
            <w:rPr>
              <w:noProof/>
            </w:rPr>
            <w:t>29</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sidRPr="00367E31">
            <w:rPr>
              <w:rFonts w:ascii="MS Mincho" w:eastAsia="MS Mincho" w:hAnsi="MS Mincho" w:cs="MS Mincho"/>
              <w:noProof/>
            </w:rPr>
            <w:t>✪</w:t>
          </w:r>
          <w:r w:rsidRPr="00367E31">
            <w:rPr>
              <w:noProof/>
            </w:rPr>
            <w:t xml:space="preserve"> </w:t>
          </w:r>
          <w:r>
            <w:rPr>
              <w:noProof/>
            </w:rPr>
            <w:t>9. Introduction of the public officials’ asset declarations monitoring system</w:t>
          </w:r>
          <w:r>
            <w:rPr>
              <w:noProof/>
            </w:rPr>
            <w:tab/>
          </w:r>
          <w:r>
            <w:rPr>
              <w:noProof/>
            </w:rPr>
            <w:fldChar w:fldCharType="begin"/>
          </w:r>
          <w:r>
            <w:rPr>
              <w:noProof/>
            </w:rPr>
            <w:instrText xml:space="preserve"> PAGEREF _Toc409220381 \h </w:instrText>
          </w:r>
          <w:r>
            <w:rPr>
              <w:noProof/>
            </w:rPr>
          </w:r>
          <w:r>
            <w:rPr>
              <w:noProof/>
            </w:rPr>
            <w:fldChar w:fldCharType="separate"/>
          </w:r>
          <w:r>
            <w:rPr>
              <w:noProof/>
            </w:rPr>
            <w:t>32</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10. Establishing unified regulations to publish court decisions</w:t>
          </w:r>
          <w:r>
            <w:rPr>
              <w:noProof/>
            </w:rPr>
            <w:tab/>
          </w:r>
          <w:r>
            <w:rPr>
              <w:noProof/>
            </w:rPr>
            <w:fldChar w:fldCharType="begin"/>
          </w:r>
          <w:r>
            <w:rPr>
              <w:noProof/>
            </w:rPr>
            <w:instrText xml:space="preserve"> PAGEREF _Toc409220382 \h </w:instrText>
          </w:r>
          <w:r>
            <w:rPr>
              <w:noProof/>
            </w:rPr>
          </w:r>
          <w:r>
            <w:rPr>
              <w:noProof/>
            </w:rPr>
            <w:fldChar w:fldCharType="separate"/>
          </w:r>
          <w:r>
            <w:rPr>
              <w:noProof/>
            </w:rPr>
            <w:t>35</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11. Development of transparency and integrity strategy and action plan in the field of regional development and infrastructure</w:t>
          </w:r>
          <w:r>
            <w:rPr>
              <w:noProof/>
            </w:rPr>
            <w:tab/>
          </w:r>
          <w:r>
            <w:rPr>
              <w:noProof/>
            </w:rPr>
            <w:fldChar w:fldCharType="begin"/>
          </w:r>
          <w:r>
            <w:rPr>
              <w:noProof/>
            </w:rPr>
            <w:instrText xml:space="preserve"> PAGEREF _Toc409220383 \h </w:instrText>
          </w:r>
          <w:r>
            <w:rPr>
              <w:noProof/>
            </w:rPr>
          </w:r>
          <w:r>
            <w:rPr>
              <w:noProof/>
            </w:rPr>
            <w:fldChar w:fldCharType="separate"/>
          </w:r>
          <w:r>
            <w:rPr>
              <w:noProof/>
            </w:rPr>
            <w:t>37</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12. Improvement of the database of the convicted and transfer of the penitentiary department entirely onto the electronic workflow management</w:t>
          </w:r>
          <w:r>
            <w:rPr>
              <w:noProof/>
            </w:rPr>
            <w:tab/>
          </w:r>
          <w:r>
            <w:rPr>
              <w:noProof/>
            </w:rPr>
            <w:fldChar w:fldCharType="begin"/>
          </w:r>
          <w:r>
            <w:rPr>
              <w:noProof/>
            </w:rPr>
            <w:instrText xml:space="preserve"> PAGEREF _Toc409220384 \h </w:instrText>
          </w:r>
          <w:r>
            <w:rPr>
              <w:noProof/>
            </w:rPr>
          </w:r>
          <w:r>
            <w:rPr>
              <w:noProof/>
            </w:rPr>
            <w:fldChar w:fldCharType="separate"/>
          </w:r>
          <w:r>
            <w:rPr>
              <w:noProof/>
            </w:rPr>
            <w:t>40</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13. Publication of phone tapping data according to the nature of the crime and geographic area</w:t>
          </w:r>
          <w:r>
            <w:rPr>
              <w:noProof/>
            </w:rPr>
            <w:tab/>
          </w:r>
          <w:r>
            <w:rPr>
              <w:noProof/>
            </w:rPr>
            <w:fldChar w:fldCharType="begin"/>
          </w:r>
          <w:r>
            <w:rPr>
              <w:noProof/>
            </w:rPr>
            <w:instrText xml:space="preserve"> PAGEREF _Toc409220385 \h </w:instrText>
          </w:r>
          <w:r>
            <w:rPr>
              <w:noProof/>
            </w:rPr>
          </w:r>
          <w:r>
            <w:rPr>
              <w:noProof/>
            </w:rPr>
            <w:fldChar w:fldCharType="separate"/>
          </w:r>
          <w:r>
            <w:rPr>
              <w:noProof/>
            </w:rPr>
            <w:t>42</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sidRPr="00367E31">
            <w:rPr>
              <w:rFonts w:ascii="MS Mincho" w:eastAsia="MS Mincho" w:hAnsi="MS Mincho" w:cs="MS Mincho"/>
              <w:noProof/>
            </w:rPr>
            <w:t>✪</w:t>
          </w:r>
          <w:r>
            <w:rPr>
              <w:noProof/>
            </w:rPr>
            <w:t>14. Increasing citizen participation in supervision of public finances (public audit)</w:t>
          </w:r>
          <w:r>
            <w:rPr>
              <w:noProof/>
            </w:rPr>
            <w:tab/>
          </w:r>
          <w:r>
            <w:rPr>
              <w:noProof/>
            </w:rPr>
            <w:fldChar w:fldCharType="begin"/>
          </w:r>
          <w:r>
            <w:rPr>
              <w:noProof/>
            </w:rPr>
            <w:instrText xml:space="preserve"> PAGEREF _Toc409220386 \h </w:instrText>
          </w:r>
          <w:r>
            <w:rPr>
              <w:noProof/>
            </w:rPr>
          </w:r>
          <w:r>
            <w:rPr>
              <w:noProof/>
            </w:rPr>
            <w:fldChar w:fldCharType="separate"/>
          </w:r>
          <w:r>
            <w:rPr>
              <w:noProof/>
            </w:rPr>
            <w:t>44</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15. Electronic innovations for more transparency and efficiency of public procurement</w:t>
          </w:r>
          <w:r>
            <w:rPr>
              <w:noProof/>
            </w:rPr>
            <w:tab/>
          </w:r>
          <w:r>
            <w:rPr>
              <w:noProof/>
            </w:rPr>
            <w:fldChar w:fldCharType="begin"/>
          </w:r>
          <w:r>
            <w:rPr>
              <w:noProof/>
            </w:rPr>
            <w:instrText xml:space="preserve"> PAGEREF _Toc409220387 \h </w:instrText>
          </w:r>
          <w:r>
            <w:rPr>
              <w:noProof/>
            </w:rPr>
          </w:r>
          <w:r>
            <w:rPr>
              <w:noProof/>
            </w:rPr>
            <w:fldChar w:fldCharType="separate"/>
          </w:r>
          <w:r>
            <w:rPr>
              <w:noProof/>
            </w:rPr>
            <w:t>48</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sidRPr="00367E31">
            <w:rPr>
              <w:rFonts w:ascii="MS Mincho" w:eastAsia="MS Mincho" w:hAnsi="MS Mincho" w:cs="MS Mincho"/>
              <w:noProof/>
            </w:rPr>
            <w:t>✪</w:t>
          </w:r>
          <w:r>
            <w:rPr>
              <w:noProof/>
            </w:rPr>
            <w:t>16. Adoption of the Environmental Assessment Code</w:t>
          </w:r>
          <w:r>
            <w:rPr>
              <w:noProof/>
            </w:rPr>
            <w:tab/>
          </w:r>
          <w:r>
            <w:rPr>
              <w:noProof/>
            </w:rPr>
            <w:fldChar w:fldCharType="begin"/>
          </w:r>
          <w:r>
            <w:rPr>
              <w:noProof/>
            </w:rPr>
            <w:instrText xml:space="preserve"> PAGEREF _Toc409220388 \h </w:instrText>
          </w:r>
          <w:r>
            <w:rPr>
              <w:noProof/>
            </w:rPr>
          </w:r>
          <w:r>
            <w:rPr>
              <w:noProof/>
            </w:rPr>
            <w:fldChar w:fldCharType="separate"/>
          </w:r>
          <w:r>
            <w:rPr>
              <w:noProof/>
            </w:rPr>
            <w:t>52</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17. Introduction of a mobile app as an alternative channel to connect to “112”</w:t>
          </w:r>
          <w:r>
            <w:rPr>
              <w:noProof/>
            </w:rPr>
            <w:tab/>
          </w:r>
          <w:r>
            <w:rPr>
              <w:noProof/>
            </w:rPr>
            <w:fldChar w:fldCharType="begin"/>
          </w:r>
          <w:r>
            <w:rPr>
              <w:noProof/>
            </w:rPr>
            <w:instrText xml:space="preserve"> PAGEREF _Toc409220389 \h </w:instrText>
          </w:r>
          <w:r>
            <w:rPr>
              <w:noProof/>
            </w:rPr>
          </w:r>
          <w:r>
            <w:rPr>
              <w:noProof/>
            </w:rPr>
            <w:fldChar w:fldCharType="separate"/>
          </w:r>
          <w:r>
            <w:rPr>
              <w:noProof/>
            </w:rPr>
            <w:t>56</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18. Development of Local Councils for crime prevention</w:t>
          </w:r>
          <w:r>
            <w:rPr>
              <w:noProof/>
            </w:rPr>
            <w:tab/>
          </w:r>
          <w:r>
            <w:rPr>
              <w:noProof/>
            </w:rPr>
            <w:fldChar w:fldCharType="begin"/>
          </w:r>
          <w:r>
            <w:rPr>
              <w:noProof/>
            </w:rPr>
            <w:instrText xml:space="preserve"> PAGEREF _Toc409220390 \h </w:instrText>
          </w:r>
          <w:r>
            <w:rPr>
              <w:noProof/>
            </w:rPr>
          </w:r>
          <w:r>
            <w:rPr>
              <w:noProof/>
            </w:rPr>
            <w:fldChar w:fldCharType="separate"/>
          </w:r>
          <w:r>
            <w:rPr>
              <w:noProof/>
            </w:rPr>
            <w:t>59</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19. Development of a guidebook for economic agents</w:t>
          </w:r>
          <w:r>
            <w:rPr>
              <w:noProof/>
            </w:rPr>
            <w:tab/>
          </w:r>
          <w:r>
            <w:rPr>
              <w:noProof/>
            </w:rPr>
            <w:fldChar w:fldCharType="begin"/>
          </w:r>
          <w:r>
            <w:rPr>
              <w:noProof/>
            </w:rPr>
            <w:instrText xml:space="preserve"> PAGEREF _Toc409220391 \h </w:instrText>
          </w:r>
          <w:r>
            <w:rPr>
              <w:noProof/>
            </w:rPr>
          </w:r>
          <w:r>
            <w:rPr>
              <w:noProof/>
            </w:rPr>
            <w:fldChar w:fldCharType="separate"/>
          </w:r>
          <w:r>
            <w:rPr>
              <w:noProof/>
            </w:rPr>
            <w:t>63</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20. Development and introduction of the quality control program of commercial service</w:t>
          </w:r>
          <w:r>
            <w:rPr>
              <w:noProof/>
            </w:rPr>
            <w:tab/>
          </w:r>
          <w:r>
            <w:rPr>
              <w:noProof/>
            </w:rPr>
            <w:fldChar w:fldCharType="begin"/>
          </w:r>
          <w:r>
            <w:rPr>
              <w:noProof/>
            </w:rPr>
            <w:instrText xml:space="preserve"> PAGEREF _Toc409220392 \h </w:instrText>
          </w:r>
          <w:r>
            <w:rPr>
              <w:noProof/>
            </w:rPr>
          </w:r>
          <w:r>
            <w:rPr>
              <w:noProof/>
            </w:rPr>
            <w:fldChar w:fldCharType="separate"/>
          </w:r>
          <w:r>
            <w:rPr>
              <w:noProof/>
            </w:rPr>
            <w:t>66</w:t>
          </w:r>
          <w:r>
            <w:rPr>
              <w:noProof/>
            </w:rPr>
            <w:fldChar w:fldCharType="end"/>
          </w:r>
        </w:p>
        <w:p w:rsidR="003C6219" w:rsidRDefault="003C6219">
          <w:pPr>
            <w:pStyle w:val="TOC2"/>
            <w:tabs>
              <w:tab w:val="right" w:pos="9063"/>
            </w:tabs>
            <w:rPr>
              <w:rFonts w:asciiTheme="minorHAnsi" w:hAnsiTheme="minorHAnsi" w:cstheme="minorBidi"/>
              <w:noProof/>
              <w:color w:val="auto"/>
              <w:sz w:val="24"/>
              <w:lang w:eastAsia="ja-JP"/>
            </w:rPr>
          </w:pPr>
          <w:r>
            <w:rPr>
              <w:noProof/>
            </w:rPr>
            <w:t>21. Development and introduction of the quality control program of commercial service</w:t>
          </w:r>
          <w:r>
            <w:rPr>
              <w:noProof/>
            </w:rPr>
            <w:tab/>
          </w:r>
          <w:r>
            <w:rPr>
              <w:noProof/>
            </w:rPr>
            <w:fldChar w:fldCharType="begin"/>
          </w:r>
          <w:r>
            <w:rPr>
              <w:noProof/>
            </w:rPr>
            <w:instrText xml:space="preserve"> PAGEREF _Toc409220393 \h </w:instrText>
          </w:r>
          <w:r>
            <w:rPr>
              <w:noProof/>
            </w:rPr>
          </w:r>
          <w:r>
            <w:rPr>
              <w:noProof/>
            </w:rPr>
            <w:fldChar w:fldCharType="separate"/>
          </w:r>
          <w:r>
            <w:rPr>
              <w:noProof/>
            </w:rPr>
            <w:t>68</w:t>
          </w:r>
          <w:r>
            <w:rPr>
              <w:noProof/>
            </w:rPr>
            <w:fldChar w:fldCharType="end"/>
          </w:r>
        </w:p>
        <w:p w:rsidR="003C6219" w:rsidRDefault="003C6219">
          <w:pPr>
            <w:pStyle w:val="TOC1"/>
            <w:tabs>
              <w:tab w:val="right" w:pos="9063"/>
            </w:tabs>
            <w:rPr>
              <w:rFonts w:asciiTheme="minorHAnsi" w:hAnsiTheme="minorHAnsi" w:cstheme="minorBidi"/>
              <w:noProof/>
              <w:color w:val="auto"/>
              <w:sz w:val="24"/>
              <w:lang w:eastAsia="ja-JP"/>
            </w:rPr>
          </w:pPr>
          <w:r>
            <w:rPr>
              <w:noProof/>
            </w:rPr>
            <w:t>22. Introduction of an electronic petition portal and “Zugdidi- INFO” on the webpage of Zugdidi Municipality Assembly</w:t>
          </w:r>
          <w:r>
            <w:rPr>
              <w:noProof/>
            </w:rPr>
            <w:tab/>
          </w:r>
          <w:r>
            <w:rPr>
              <w:noProof/>
            </w:rPr>
            <w:fldChar w:fldCharType="begin"/>
          </w:r>
          <w:r>
            <w:rPr>
              <w:noProof/>
            </w:rPr>
            <w:instrText xml:space="preserve"> PAGEREF _Toc409220394 \h </w:instrText>
          </w:r>
          <w:r>
            <w:rPr>
              <w:noProof/>
            </w:rPr>
          </w:r>
          <w:r>
            <w:rPr>
              <w:noProof/>
            </w:rPr>
            <w:fldChar w:fldCharType="separate"/>
          </w:r>
          <w:r>
            <w:rPr>
              <w:noProof/>
            </w:rPr>
            <w:t>70</w:t>
          </w:r>
          <w:r>
            <w:rPr>
              <w:noProof/>
            </w:rPr>
            <w:fldChar w:fldCharType="end"/>
          </w:r>
        </w:p>
        <w:p w:rsidR="003C6219" w:rsidRDefault="003C6219">
          <w:pPr>
            <w:pStyle w:val="TOC1"/>
            <w:tabs>
              <w:tab w:val="right" w:pos="9063"/>
            </w:tabs>
            <w:rPr>
              <w:rFonts w:asciiTheme="minorHAnsi" w:hAnsiTheme="minorHAnsi" w:cstheme="minorBidi"/>
              <w:noProof/>
              <w:color w:val="auto"/>
              <w:sz w:val="24"/>
              <w:lang w:eastAsia="ja-JP"/>
            </w:rPr>
          </w:pPr>
          <w:r>
            <w:rPr>
              <w:noProof/>
            </w:rPr>
            <w:t>23. Transparency of Ozurgeti Municipality Assembly meetings</w:t>
          </w:r>
          <w:r>
            <w:rPr>
              <w:noProof/>
            </w:rPr>
            <w:tab/>
          </w:r>
          <w:r>
            <w:rPr>
              <w:noProof/>
            </w:rPr>
            <w:fldChar w:fldCharType="begin"/>
          </w:r>
          <w:r>
            <w:rPr>
              <w:noProof/>
            </w:rPr>
            <w:instrText xml:space="preserve"> PAGEREF _Toc409220395 \h </w:instrText>
          </w:r>
          <w:r>
            <w:rPr>
              <w:noProof/>
            </w:rPr>
          </w:r>
          <w:r>
            <w:rPr>
              <w:noProof/>
            </w:rPr>
            <w:fldChar w:fldCharType="separate"/>
          </w:r>
          <w:r>
            <w:rPr>
              <w:noProof/>
            </w:rPr>
            <w:t>74</w:t>
          </w:r>
          <w:r>
            <w:rPr>
              <w:noProof/>
            </w:rPr>
            <w:fldChar w:fldCharType="end"/>
          </w:r>
        </w:p>
        <w:p w:rsidR="003C6219" w:rsidRDefault="003C6219">
          <w:pPr>
            <w:pStyle w:val="TOC1"/>
            <w:tabs>
              <w:tab w:val="right" w:pos="9063"/>
            </w:tabs>
            <w:rPr>
              <w:rFonts w:asciiTheme="minorHAnsi" w:hAnsiTheme="minorHAnsi" w:cstheme="minorBidi"/>
              <w:noProof/>
              <w:color w:val="auto"/>
              <w:sz w:val="24"/>
              <w:lang w:eastAsia="ja-JP"/>
            </w:rPr>
          </w:pPr>
          <w:r>
            <w:rPr>
              <w:noProof/>
            </w:rPr>
            <w:t>24. Creation of electronic mechanism for local budget planning in Kutaisi, Ozurgeti, Batumi, and Akhaltsikhe</w:t>
          </w:r>
          <w:r>
            <w:rPr>
              <w:noProof/>
            </w:rPr>
            <w:tab/>
          </w:r>
          <w:r>
            <w:rPr>
              <w:noProof/>
            </w:rPr>
            <w:fldChar w:fldCharType="begin"/>
          </w:r>
          <w:r>
            <w:rPr>
              <w:noProof/>
            </w:rPr>
            <w:instrText xml:space="preserve"> PAGEREF _Toc409220396 \h </w:instrText>
          </w:r>
          <w:r>
            <w:rPr>
              <w:noProof/>
            </w:rPr>
          </w:r>
          <w:r>
            <w:rPr>
              <w:noProof/>
            </w:rPr>
            <w:fldChar w:fldCharType="separate"/>
          </w:r>
          <w:r>
            <w:rPr>
              <w:noProof/>
            </w:rPr>
            <w:t>79</w:t>
          </w:r>
          <w:r>
            <w:rPr>
              <w:noProof/>
            </w:rPr>
            <w:fldChar w:fldCharType="end"/>
          </w:r>
        </w:p>
        <w:p w:rsidR="003C6219" w:rsidRDefault="003C6219">
          <w:pPr>
            <w:pStyle w:val="TOC1"/>
            <w:tabs>
              <w:tab w:val="right" w:pos="9063"/>
            </w:tabs>
            <w:rPr>
              <w:rFonts w:asciiTheme="minorHAnsi" w:hAnsiTheme="minorHAnsi" w:cstheme="minorBidi"/>
              <w:noProof/>
              <w:color w:val="auto"/>
              <w:sz w:val="24"/>
              <w:lang w:eastAsia="ja-JP"/>
            </w:rPr>
          </w:pPr>
          <w:r>
            <w:rPr>
              <w:noProof/>
            </w:rPr>
            <w:t>Methodological Note</w:t>
          </w:r>
          <w:r>
            <w:rPr>
              <w:noProof/>
            </w:rPr>
            <w:tab/>
          </w:r>
          <w:r>
            <w:rPr>
              <w:noProof/>
            </w:rPr>
            <w:fldChar w:fldCharType="begin"/>
          </w:r>
          <w:r>
            <w:rPr>
              <w:noProof/>
            </w:rPr>
            <w:instrText xml:space="preserve"> PAGEREF _Toc409220397 \h </w:instrText>
          </w:r>
          <w:r>
            <w:rPr>
              <w:noProof/>
            </w:rPr>
          </w:r>
          <w:r>
            <w:rPr>
              <w:noProof/>
            </w:rPr>
            <w:fldChar w:fldCharType="separate"/>
          </w:r>
          <w:r>
            <w:rPr>
              <w:noProof/>
            </w:rPr>
            <w:t>84</w:t>
          </w:r>
          <w:r>
            <w:rPr>
              <w:noProof/>
            </w:rPr>
            <w:fldChar w:fldCharType="end"/>
          </w:r>
        </w:p>
        <w:p w:rsidR="00573B32" w:rsidRPr="004B1C12" w:rsidRDefault="00573B32" w:rsidP="00573B32">
          <w:r w:rsidRPr="004B1C12">
            <w:rPr>
              <w:b/>
              <w:szCs w:val="22"/>
            </w:rPr>
            <w:lastRenderedPageBreak/>
            <w:fldChar w:fldCharType="end"/>
          </w:r>
        </w:p>
      </w:sdtContent>
    </w:sdt>
    <w:p w:rsidR="00573B32" w:rsidRPr="004B1C12" w:rsidRDefault="00573B32" w:rsidP="00573B32"/>
    <w:p w:rsidR="001F393A" w:rsidRDefault="001F393A" w:rsidP="00573B32">
      <w:pPr>
        <w:sectPr w:rsidR="001F393A" w:rsidSect="000278C1">
          <w:headerReference w:type="default" r:id="rId10"/>
          <w:footerReference w:type="even" r:id="rId11"/>
          <w:footerReference w:type="default" r:id="rId12"/>
          <w:footerReference w:type="first" r:id="rId13"/>
          <w:endnotePr>
            <w:numFmt w:val="decimal"/>
            <w:numRestart w:val="eachSect"/>
          </w:endnotePr>
          <w:pgSz w:w="11907" w:h="16839" w:code="9"/>
          <w:pgMar w:top="1134" w:right="1417" w:bottom="1417" w:left="1417" w:header="0" w:footer="0" w:gutter="0"/>
          <w:cols w:space="708"/>
          <w:titlePg/>
          <w:docGrid w:linePitch="360"/>
        </w:sectPr>
      </w:pPr>
    </w:p>
    <w:p w:rsidR="00573B32" w:rsidRPr="004B1C12" w:rsidRDefault="00573B32" w:rsidP="00573B32"/>
    <w:p w:rsidR="00573B32" w:rsidRPr="004B1C12" w:rsidRDefault="00573B32" w:rsidP="00573B32"/>
    <w:p w:rsidR="00416E6C" w:rsidRPr="004B1C12" w:rsidRDefault="00112881" w:rsidP="00B0395A">
      <w:pPr>
        <w:pStyle w:val="Normalrglronly"/>
      </w:pPr>
      <w:r w:rsidRPr="004B1C12">
        <w:rPr>
          <w:noProof/>
        </w:rPr>
        <w:drawing>
          <wp:anchor distT="0" distB="0" distL="114300" distR="114300" simplePos="0" relativeHeight="251655680" behindDoc="0" locked="0" layoutInCell="1" allowOverlap="1" wp14:anchorId="324323C3" wp14:editId="0B0A9EDD">
            <wp:simplePos x="0" y="0"/>
            <wp:positionH relativeFrom="column">
              <wp:posOffset>-620395</wp:posOffset>
            </wp:positionH>
            <wp:positionV relativeFrom="paragraph">
              <wp:posOffset>-256540</wp:posOffset>
            </wp:positionV>
            <wp:extent cx="914400" cy="9144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p w:rsidR="003178D9" w:rsidRPr="004B1C12" w:rsidRDefault="00112881" w:rsidP="00B0395A">
      <w:pPr>
        <w:pStyle w:val="Normalrglronly"/>
      </w:pPr>
      <w:r w:rsidRPr="004B1C12">
        <w:rPr>
          <w:noProof/>
        </w:rPr>
        <mc:AlternateContent>
          <mc:Choice Requires="wps">
            <w:drawing>
              <wp:anchor distT="0" distB="0" distL="114300" distR="114300" simplePos="0" relativeHeight="251660800" behindDoc="0" locked="0" layoutInCell="1" allowOverlap="1" wp14:anchorId="584FCE0B" wp14:editId="6C68AC5C">
                <wp:simplePos x="0" y="0"/>
                <wp:positionH relativeFrom="column">
                  <wp:posOffset>5547995</wp:posOffset>
                </wp:positionH>
                <wp:positionV relativeFrom="page">
                  <wp:posOffset>1032510</wp:posOffset>
                </wp:positionV>
                <wp:extent cx="571500" cy="571500"/>
                <wp:effectExtent l="0" t="0" r="38100" b="38100"/>
                <wp:wrapSquare wrapText="bothSides"/>
                <wp:docPr id="5" name="Cuadro de texto 5"/>
                <wp:cNvGraphicFramePr/>
                <a:graphic xmlns:a="http://schemas.openxmlformats.org/drawingml/2006/main">
                  <a:graphicData uri="http://schemas.microsoft.com/office/word/2010/wordprocessingShape">
                    <wps:wsp>
                      <wps:cNvSpPr txBox="1"/>
                      <wps:spPr>
                        <a:xfrm>
                          <a:off x="0" y="0"/>
                          <a:ext cx="57150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846D2A" w:rsidRPr="00112881" w:rsidRDefault="00846D2A">
                            <w:pPr>
                              <w:rPr>
                                <w:lang w:val="es-ES"/>
                              </w:rPr>
                            </w:pPr>
                            <w:r>
                              <w:rPr>
                                <w:lang w:val="es-ES"/>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436.85pt;margin-top:81.3pt;width:45pt;height:45pt;z-index:2516608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oXawIAACkFAAAOAAAAZHJzL2Uyb0RvYy54bWysVE1v2zAMvQ/YfxB0X50EzboFdYosRYcB&#10;RVs0HXpWZKkxJokapcTOfv0o+aNFV+ww7GJT5CMpko86v2itYQeFoQZX8unJhDPlJFS1eyr594er&#10;D584C1G4ShhwquRHFfjF8v2788Yv1Ax2YCqFjIK4sGh8yXcx+kVRBLlTVoQT8MqRUQNaEemIT0WF&#10;oqHo1hSzyeRj0QBWHkGqEEh72Rn5MsfXWsl4q3VQkZmS091i/mL+btO3WJ6LxRMKv6tlfw3xD7ew&#10;onaUdAx1KaJge6z/CGVriRBAxxMJtgCta6lyDVTNdPKqms1OeJVroeYEP7Yp/L+w8uZwh6yuSj7n&#10;zAlLI1rvRYXAKsWiaiOweWpS48OCsBtP6Nh+gZaGPegDKVPtrUab/lQVIzu1+zi2mCIxScr52XQ+&#10;IYskUy9T9OLZ2WOIXxVYloSSI00wN1YcrkPsoAMk5TIu6dLtultkKR6N6oz3SlNxlHeWg2RaqbVB&#10;dhBEiOpHroGyG0fI5KJrY0an6VtOJg5OPTa5qUy10XHyluNzthGdM4KLo6OtHeDfnXWHH6ruak1l&#10;x3bb9pPaQnWkQSF0fA9eXtXUzmsR4p1AIjhNgJY23tJHG2hKDr3E2Q7w11v6hCfekZWzhham5OHn&#10;XqDizHxzxMjP09PTtGH5cDo/m9EBX1q2Ly1ub9dAI5jS8+BlFhM+mkHUCPaRdnuVspJJOEm5Sx4H&#10;cR27Naa3QarVKoNop7yI127jZQqd2pvI8tA+CvQ9oxKpb2BYLbF4RawOmzwdrPYRdJ1ZlxrcdbVv&#10;PO1j5m3/dqSFf3nOqOcXbvkbAAD//wMAUEsDBBQABgAIAAAAIQBdr1Jg4QAAAAsBAAAPAAAAZHJz&#10;L2Rvd25yZXYueG1sTI9BS8NAEIXvgv9hGcGLtBujpjVmU0qhB6EirSIeJ9k1Ce7Ohuy2jf31Tk96&#10;nPc+3rxXLEZnxcEMofOk4HaagDBUe91Ro+D9bT2ZgwgRSaP1ZBT8mACL8vKiwFz7I23NYRcbwSEU&#10;clTQxtjnUoa6NQ7D1PeG2Pvyg8PI59BIPeCRw52VaZJk0mFH/KHF3qxaU3/v9k4BvrZVF04v9rT6&#10;pOX6+X6DHzcbpa6vxuUTiGjG+AfDuT5Xh5I7VX5POgirYD67mzHKRpZmIJh4zM5KpSB9YEWWhfy/&#10;ofwFAAD//wMAUEsBAi0AFAAGAAgAAAAhALaDOJL+AAAA4QEAABMAAAAAAAAAAAAAAAAAAAAAAFtD&#10;b250ZW50X1R5cGVzXS54bWxQSwECLQAUAAYACAAAACEAOP0h/9YAAACUAQAACwAAAAAAAAAAAAAA&#10;AAAvAQAAX3JlbHMvLnJlbHNQSwECLQAUAAYACAAAACEA2Dp6F2sCAAApBQAADgAAAAAAAAAAAAAA&#10;AAAuAgAAZHJzL2Uyb0RvYy54bWxQSwECLQAUAAYACAAAACEAXa9SYOEAAAALAQAADwAAAAAAAAAA&#10;AAAAAADFBAAAZHJzL2Rvd25yZXYueG1sUEsFBgAAAAAEAAQA8wAAANMFAAAAAA==&#10;" fillcolor="white [3201]" strokecolor="black [3200]" strokeweight="2pt">
                <v:textbox>
                  <w:txbxContent>
                    <w:p w:rsidR="00846D2A" w:rsidRPr="00112881" w:rsidRDefault="00846D2A">
                      <w:pPr>
                        <w:rPr>
                          <w:lang w:val="es-ES"/>
                        </w:rPr>
                      </w:pPr>
                      <w:r>
                        <w:rPr>
                          <w:lang w:val="es-ES"/>
                        </w:rPr>
                        <w:t>Logo</w:t>
                      </w:r>
                    </w:p>
                  </w:txbxContent>
                </v:textbox>
                <w10:wrap type="square" anchory="page"/>
              </v:shape>
            </w:pict>
          </mc:Fallback>
        </mc:AlternateContent>
      </w:r>
    </w:p>
    <w:p w:rsidR="00050CE5" w:rsidRPr="004B1C12" w:rsidRDefault="000657FE" w:rsidP="00CB3E97">
      <w:pPr>
        <w:pStyle w:val="Heading1"/>
        <w:jc w:val="center"/>
      </w:pPr>
      <w:bookmarkStart w:id="0" w:name="_Toc409220370"/>
      <w:r w:rsidRPr="004B1C12">
        <w:t xml:space="preserve">Overview: </w:t>
      </w:r>
      <w:r w:rsidR="00162C40">
        <w:t>Georgia</w:t>
      </w:r>
      <w:bookmarkEnd w:id="0"/>
    </w:p>
    <w:tbl>
      <w:tblPr>
        <w:tblpPr w:leftFromText="180" w:rightFromText="180" w:vertAnchor="page" w:horzAnchor="page" w:tblpX="6206" w:tblpY="5815"/>
        <w:tblW w:w="2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749"/>
        <w:gridCol w:w="842"/>
      </w:tblGrid>
      <w:tr w:rsidR="003305E5" w:rsidRPr="004B1C12" w:rsidTr="003305E5">
        <w:tc>
          <w:tcPr>
            <w:tcW w:w="5000" w:type="pct"/>
            <w:gridSpan w:val="3"/>
          </w:tcPr>
          <w:p w:rsidR="003305E5" w:rsidRPr="004B1C12" w:rsidRDefault="003305E5" w:rsidP="003305E5">
            <w:pPr>
              <w:pStyle w:val="Ataglancetitle"/>
              <w:rPr>
                <w:szCs w:val="22"/>
              </w:rPr>
            </w:pPr>
            <w:r w:rsidRPr="004B1C12">
              <w:rPr>
                <w:szCs w:val="22"/>
              </w:rPr>
              <w:t>Table 1: At a Glance</w:t>
            </w:r>
          </w:p>
        </w:tc>
      </w:tr>
      <w:tr w:rsidR="003305E5" w:rsidRPr="004B1C12" w:rsidTr="003305E5">
        <w:tc>
          <w:tcPr>
            <w:tcW w:w="3191" w:type="pct"/>
          </w:tcPr>
          <w:p w:rsidR="003305E5" w:rsidRPr="004B1C12" w:rsidRDefault="003305E5" w:rsidP="003305E5">
            <w:pPr>
              <w:pStyle w:val="Rowcolumntitles"/>
              <w:rPr>
                <w:szCs w:val="22"/>
              </w:rPr>
            </w:pPr>
          </w:p>
        </w:tc>
        <w:tc>
          <w:tcPr>
            <w:tcW w:w="852" w:type="pct"/>
          </w:tcPr>
          <w:p w:rsidR="003305E5" w:rsidRPr="004B1C12" w:rsidRDefault="003305E5" w:rsidP="003305E5">
            <w:pPr>
              <w:pStyle w:val="Ataglancesubtitle"/>
              <w:rPr>
                <w:szCs w:val="22"/>
              </w:rPr>
            </w:pPr>
            <w:r w:rsidRPr="004B1C12">
              <w:rPr>
                <w:szCs w:val="22"/>
              </w:rPr>
              <w:t>Mid-term</w:t>
            </w:r>
          </w:p>
        </w:tc>
        <w:tc>
          <w:tcPr>
            <w:tcW w:w="957" w:type="pct"/>
          </w:tcPr>
          <w:p w:rsidR="003305E5" w:rsidRPr="004B1C12" w:rsidRDefault="003305E5" w:rsidP="003305E5">
            <w:pPr>
              <w:pStyle w:val="Ataglancesubtitle"/>
              <w:rPr>
                <w:szCs w:val="22"/>
              </w:rPr>
            </w:pPr>
            <w:r w:rsidRPr="004B1C12">
              <w:rPr>
                <w:szCs w:val="22"/>
              </w:rPr>
              <w:t>End of term</w:t>
            </w:r>
          </w:p>
        </w:tc>
      </w:tr>
      <w:tr w:rsidR="003305E5" w:rsidRPr="004B1C12" w:rsidTr="003305E5">
        <w:tc>
          <w:tcPr>
            <w:tcW w:w="3191" w:type="pct"/>
          </w:tcPr>
          <w:p w:rsidR="003305E5" w:rsidRPr="004B1C12" w:rsidRDefault="003305E5" w:rsidP="003305E5">
            <w:pPr>
              <w:pStyle w:val="Rowcolumntitles"/>
              <w:rPr>
                <w:szCs w:val="22"/>
              </w:rPr>
            </w:pPr>
            <w:r w:rsidRPr="004B1C12">
              <w:rPr>
                <w:szCs w:val="22"/>
              </w:rPr>
              <w:t>Number of Commitments</w:t>
            </w:r>
          </w:p>
        </w:tc>
        <w:tc>
          <w:tcPr>
            <w:tcW w:w="1809" w:type="pct"/>
            <w:gridSpan w:val="2"/>
            <w:vAlign w:val="center"/>
          </w:tcPr>
          <w:p w:rsidR="003305E5" w:rsidRPr="004B1C12" w:rsidRDefault="003305E5" w:rsidP="003305E5">
            <w:pPr>
              <w:pStyle w:val="Rowcolumntitles"/>
              <w:rPr>
                <w:szCs w:val="22"/>
              </w:rPr>
            </w:pPr>
            <w:r>
              <w:rPr>
                <w:szCs w:val="22"/>
              </w:rPr>
              <w:t>24</w:t>
            </w:r>
          </w:p>
        </w:tc>
      </w:tr>
      <w:tr w:rsidR="003305E5" w:rsidRPr="004B1C12" w:rsidTr="003305E5">
        <w:tc>
          <w:tcPr>
            <w:tcW w:w="5000" w:type="pct"/>
            <w:gridSpan w:val="3"/>
          </w:tcPr>
          <w:p w:rsidR="003305E5" w:rsidRPr="004B1C12" w:rsidRDefault="003305E5" w:rsidP="003305E5">
            <w:pPr>
              <w:pStyle w:val="Ataglancesubtitle"/>
              <w:jc w:val="center"/>
              <w:rPr>
                <w:szCs w:val="22"/>
              </w:rPr>
            </w:pPr>
            <w:r w:rsidRPr="004B1C12">
              <w:rPr>
                <w:szCs w:val="22"/>
              </w:rPr>
              <w:t xml:space="preserve">Level of Completion </w:t>
            </w:r>
          </w:p>
        </w:tc>
      </w:tr>
      <w:tr w:rsidR="003305E5" w:rsidRPr="004B1C12" w:rsidTr="003305E5">
        <w:tc>
          <w:tcPr>
            <w:tcW w:w="3191" w:type="pct"/>
          </w:tcPr>
          <w:p w:rsidR="003305E5" w:rsidRPr="004B1C12" w:rsidRDefault="003305E5" w:rsidP="003305E5">
            <w:pPr>
              <w:pStyle w:val="Rowcolumntitles"/>
              <w:rPr>
                <w:szCs w:val="22"/>
              </w:rPr>
            </w:pPr>
            <w:r w:rsidRPr="004B1C12">
              <w:rPr>
                <w:szCs w:val="22"/>
              </w:rPr>
              <w:t>Completed</w:t>
            </w:r>
          </w:p>
        </w:tc>
        <w:tc>
          <w:tcPr>
            <w:tcW w:w="852" w:type="pct"/>
            <w:vAlign w:val="center"/>
          </w:tcPr>
          <w:p w:rsidR="003305E5" w:rsidRPr="004B1C12" w:rsidRDefault="003305E5" w:rsidP="003305E5">
            <w:pPr>
              <w:pStyle w:val="Rowcolumntitles"/>
              <w:rPr>
                <w:i/>
                <w:szCs w:val="22"/>
              </w:rPr>
            </w:pPr>
            <w:r>
              <w:rPr>
                <w:i/>
                <w:szCs w:val="22"/>
              </w:rPr>
              <w:t>6</w:t>
            </w:r>
          </w:p>
        </w:tc>
        <w:tc>
          <w:tcPr>
            <w:tcW w:w="957" w:type="pct"/>
            <w:vAlign w:val="center"/>
          </w:tcPr>
          <w:p w:rsidR="003305E5" w:rsidRPr="00C82219" w:rsidRDefault="0096385D" w:rsidP="003305E5">
            <w:pPr>
              <w:pStyle w:val="Rowcolumntitles"/>
              <w:rPr>
                <w:i/>
                <w:szCs w:val="22"/>
                <w:highlight w:val="yellow"/>
              </w:rPr>
            </w:pPr>
            <w:r w:rsidRPr="0096385D">
              <w:rPr>
                <w:i/>
                <w:szCs w:val="22"/>
              </w:rPr>
              <w:t>4</w:t>
            </w:r>
          </w:p>
        </w:tc>
      </w:tr>
      <w:tr w:rsidR="003305E5" w:rsidRPr="004B1C12" w:rsidTr="003305E5">
        <w:tc>
          <w:tcPr>
            <w:tcW w:w="3191" w:type="pct"/>
          </w:tcPr>
          <w:p w:rsidR="003305E5" w:rsidRPr="004B1C12" w:rsidRDefault="003305E5" w:rsidP="003305E5">
            <w:pPr>
              <w:pStyle w:val="Rowcolumntitles"/>
              <w:rPr>
                <w:szCs w:val="22"/>
              </w:rPr>
            </w:pPr>
            <w:r w:rsidRPr="004B1C12">
              <w:rPr>
                <w:szCs w:val="22"/>
              </w:rPr>
              <w:t>Substantial</w:t>
            </w:r>
          </w:p>
        </w:tc>
        <w:tc>
          <w:tcPr>
            <w:tcW w:w="852" w:type="pct"/>
            <w:vAlign w:val="center"/>
          </w:tcPr>
          <w:p w:rsidR="003305E5" w:rsidRPr="004B1C12" w:rsidRDefault="00432F07" w:rsidP="003305E5">
            <w:pPr>
              <w:pStyle w:val="Rowcolumntitles"/>
              <w:rPr>
                <w:i/>
                <w:szCs w:val="22"/>
              </w:rPr>
            </w:pPr>
            <w:r>
              <w:rPr>
                <w:i/>
                <w:szCs w:val="22"/>
              </w:rPr>
              <w:t>7</w:t>
            </w:r>
          </w:p>
        </w:tc>
        <w:tc>
          <w:tcPr>
            <w:tcW w:w="957" w:type="pct"/>
            <w:vAlign w:val="center"/>
          </w:tcPr>
          <w:p w:rsidR="003305E5" w:rsidRPr="00FC4A16" w:rsidRDefault="00432F07" w:rsidP="003305E5">
            <w:pPr>
              <w:pStyle w:val="Rowcolumntitles"/>
              <w:rPr>
                <w:i/>
                <w:szCs w:val="22"/>
              </w:rPr>
            </w:pPr>
            <w:r>
              <w:rPr>
                <w:i/>
                <w:szCs w:val="22"/>
              </w:rPr>
              <w:t>2</w:t>
            </w:r>
          </w:p>
        </w:tc>
      </w:tr>
      <w:tr w:rsidR="003305E5" w:rsidRPr="004B1C12" w:rsidTr="003305E5">
        <w:tc>
          <w:tcPr>
            <w:tcW w:w="3191" w:type="pct"/>
          </w:tcPr>
          <w:p w:rsidR="003305E5" w:rsidRPr="004B1C12" w:rsidRDefault="003305E5" w:rsidP="003305E5">
            <w:pPr>
              <w:pStyle w:val="Rowcolumntitles"/>
              <w:rPr>
                <w:szCs w:val="22"/>
              </w:rPr>
            </w:pPr>
            <w:r w:rsidRPr="004B1C12">
              <w:rPr>
                <w:szCs w:val="22"/>
              </w:rPr>
              <w:t>Limited</w:t>
            </w:r>
          </w:p>
        </w:tc>
        <w:tc>
          <w:tcPr>
            <w:tcW w:w="852" w:type="pct"/>
            <w:vAlign w:val="center"/>
          </w:tcPr>
          <w:p w:rsidR="003305E5" w:rsidRPr="004B1C12" w:rsidRDefault="003305E5" w:rsidP="003305E5">
            <w:pPr>
              <w:pStyle w:val="Rowcolumntitles"/>
              <w:rPr>
                <w:i/>
                <w:szCs w:val="22"/>
              </w:rPr>
            </w:pPr>
            <w:r>
              <w:rPr>
                <w:i/>
                <w:szCs w:val="22"/>
              </w:rPr>
              <w:t>1</w:t>
            </w:r>
            <w:r w:rsidR="00432F07">
              <w:rPr>
                <w:i/>
                <w:szCs w:val="22"/>
              </w:rPr>
              <w:t>1</w:t>
            </w:r>
          </w:p>
        </w:tc>
        <w:tc>
          <w:tcPr>
            <w:tcW w:w="957" w:type="pct"/>
            <w:vAlign w:val="center"/>
          </w:tcPr>
          <w:p w:rsidR="003305E5" w:rsidRPr="00FC4A16" w:rsidRDefault="00432F07" w:rsidP="003305E5">
            <w:pPr>
              <w:pStyle w:val="Rowcolumntitles"/>
              <w:rPr>
                <w:i/>
                <w:szCs w:val="22"/>
              </w:rPr>
            </w:pPr>
            <w:r>
              <w:rPr>
                <w:i/>
                <w:szCs w:val="22"/>
              </w:rPr>
              <w:t>8</w:t>
            </w:r>
          </w:p>
        </w:tc>
      </w:tr>
      <w:tr w:rsidR="003305E5" w:rsidRPr="004B1C12" w:rsidTr="003305E5">
        <w:tc>
          <w:tcPr>
            <w:tcW w:w="3191" w:type="pct"/>
          </w:tcPr>
          <w:p w:rsidR="003305E5" w:rsidRPr="004B1C12" w:rsidRDefault="003305E5" w:rsidP="003305E5">
            <w:pPr>
              <w:pStyle w:val="Rowcolumntitles"/>
              <w:rPr>
                <w:szCs w:val="22"/>
              </w:rPr>
            </w:pPr>
            <w:r w:rsidRPr="004B1C12">
              <w:rPr>
                <w:szCs w:val="22"/>
              </w:rPr>
              <w:t>Not Started</w:t>
            </w:r>
          </w:p>
        </w:tc>
        <w:tc>
          <w:tcPr>
            <w:tcW w:w="852" w:type="pct"/>
            <w:vAlign w:val="center"/>
          </w:tcPr>
          <w:p w:rsidR="003305E5" w:rsidRPr="004B1C12" w:rsidRDefault="003305E5" w:rsidP="003305E5">
            <w:pPr>
              <w:pStyle w:val="Rowcolumntitles"/>
              <w:rPr>
                <w:i/>
                <w:szCs w:val="22"/>
              </w:rPr>
            </w:pPr>
            <w:r>
              <w:rPr>
                <w:i/>
                <w:szCs w:val="22"/>
              </w:rPr>
              <w:t>0</w:t>
            </w:r>
          </w:p>
        </w:tc>
        <w:tc>
          <w:tcPr>
            <w:tcW w:w="957" w:type="pct"/>
            <w:vAlign w:val="center"/>
          </w:tcPr>
          <w:p w:rsidR="003305E5" w:rsidRPr="00FC4A16" w:rsidRDefault="003305E5" w:rsidP="003305E5">
            <w:pPr>
              <w:pStyle w:val="Rowcolumntitles"/>
              <w:rPr>
                <w:i/>
                <w:szCs w:val="22"/>
              </w:rPr>
            </w:pPr>
            <w:r w:rsidRPr="00FC4A16">
              <w:rPr>
                <w:i/>
                <w:szCs w:val="22"/>
              </w:rPr>
              <w:t>0</w:t>
            </w:r>
          </w:p>
        </w:tc>
      </w:tr>
      <w:tr w:rsidR="003305E5" w:rsidRPr="004B1C12" w:rsidTr="003305E5">
        <w:tc>
          <w:tcPr>
            <w:tcW w:w="5000" w:type="pct"/>
            <w:gridSpan w:val="3"/>
          </w:tcPr>
          <w:p w:rsidR="003305E5" w:rsidRPr="004B1C12" w:rsidRDefault="003305E5" w:rsidP="003305E5">
            <w:pPr>
              <w:pStyle w:val="Ataglancesubtitle"/>
              <w:jc w:val="center"/>
              <w:rPr>
                <w:szCs w:val="22"/>
              </w:rPr>
            </w:pPr>
            <w:r w:rsidRPr="004B1C12">
              <w:rPr>
                <w:szCs w:val="22"/>
              </w:rPr>
              <w:t>Number of Commitments with…</w:t>
            </w:r>
          </w:p>
        </w:tc>
      </w:tr>
      <w:tr w:rsidR="003305E5" w:rsidRPr="004B1C12" w:rsidTr="003305E5">
        <w:tc>
          <w:tcPr>
            <w:tcW w:w="3191" w:type="pct"/>
          </w:tcPr>
          <w:p w:rsidR="003305E5" w:rsidRPr="004B1C12" w:rsidRDefault="003305E5" w:rsidP="003305E5">
            <w:pPr>
              <w:pStyle w:val="Rowcolumntitles"/>
              <w:rPr>
                <w:szCs w:val="22"/>
              </w:rPr>
            </w:pPr>
            <w:r w:rsidRPr="004B1C12">
              <w:rPr>
                <w:szCs w:val="22"/>
              </w:rPr>
              <w:t>Clear Relevance to OGP Values</w:t>
            </w:r>
          </w:p>
        </w:tc>
        <w:tc>
          <w:tcPr>
            <w:tcW w:w="852" w:type="pct"/>
            <w:vAlign w:val="center"/>
          </w:tcPr>
          <w:p w:rsidR="003305E5" w:rsidRPr="004B1C12" w:rsidRDefault="003305E5" w:rsidP="003305E5">
            <w:pPr>
              <w:pStyle w:val="Rowcolumntitles"/>
              <w:rPr>
                <w:i/>
                <w:szCs w:val="22"/>
              </w:rPr>
            </w:pPr>
            <w:r>
              <w:rPr>
                <w:i/>
                <w:szCs w:val="22"/>
              </w:rPr>
              <w:t>17</w:t>
            </w:r>
          </w:p>
        </w:tc>
        <w:tc>
          <w:tcPr>
            <w:tcW w:w="957" w:type="pct"/>
            <w:vAlign w:val="center"/>
          </w:tcPr>
          <w:p w:rsidR="003305E5" w:rsidRPr="004B1C12" w:rsidRDefault="003305E5" w:rsidP="003305E5">
            <w:pPr>
              <w:pStyle w:val="Rowcolumntitles"/>
              <w:rPr>
                <w:i/>
                <w:szCs w:val="22"/>
              </w:rPr>
            </w:pPr>
            <w:r>
              <w:rPr>
                <w:i/>
                <w:szCs w:val="22"/>
              </w:rPr>
              <w:t>1</w:t>
            </w:r>
            <w:r w:rsidR="00432F07">
              <w:rPr>
                <w:i/>
                <w:szCs w:val="22"/>
              </w:rPr>
              <w:t>7</w:t>
            </w:r>
          </w:p>
        </w:tc>
      </w:tr>
      <w:tr w:rsidR="003305E5" w:rsidRPr="004B1C12" w:rsidTr="003305E5">
        <w:tc>
          <w:tcPr>
            <w:tcW w:w="3191" w:type="pct"/>
          </w:tcPr>
          <w:p w:rsidR="003305E5" w:rsidRPr="004B1C12" w:rsidRDefault="003305E5" w:rsidP="003305E5">
            <w:pPr>
              <w:pStyle w:val="Rowcolumntitles"/>
              <w:rPr>
                <w:szCs w:val="22"/>
              </w:rPr>
            </w:pPr>
            <w:r w:rsidRPr="004B1C12">
              <w:rPr>
                <w:szCs w:val="22"/>
              </w:rPr>
              <w:t>Transformative Potential Impact</w:t>
            </w:r>
          </w:p>
        </w:tc>
        <w:tc>
          <w:tcPr>
            <w:tcW w:w="852" w:type="pct"/>
            <w:vAlign w:val="center"/>
          </w:tcPr>
          <w:p w:rsidR="003305E5" w:rsidRPr="004B1C12" w:rsidRDefault="003305E5" w:rsidP="003305E5">
            <w:pPr>
              <w:pStyle w:val="Rowcolumntitles"/>
              <w:rPr>
                <w:i/>
                <w:szCs w:val="22"/>
              </w:rPr>
            </w:pPr>
            <w:r>
              <w:rPr>
                <w:i/>
                <w:szCs w:val="22"/>
              </w:rPr>
              <w:t>4</w:t>
            </w:r>
          </w:p>
        </w:tc>
        <w:tc>
          <w:tcPr>
            <w:tcW w:w="957" w:type="pct"/>
            <w:vAlign w:val="center"/>
          </w:tcPr>
          <w:p w:rsidR="003305E5" w:rsidRPr="004B1C12" w:rsidRDefault="003305E5" w:rsidP="003305E5">
            <w:pPr>
              <w:pStyle w:val="Rowcolumntitles"/>
              <w:rPr>
                <w:i/>
                <w:szCs w:val="22"/>
              </w:rPr>
            </w:pPr>
            <w:r>
              <w:rPr>
                <w:i/>
                <w:szCs w:val="22"/>
              </w:rPr>
              <w:t>4</w:t>
            </w:r>
          </w:p>
        </w:tc>
      </w:tr>
      <w:tr w:rsidR="003305E5" w:rsidRPr="004B1C12" w:rsidTr="003305E5">
        <w:tc>
          <w:tcPr>
            <w:tcW w:w="3191" w:type="pct"/>
          </w:tcPr>
          <w:p w:rsidR="003305E5" w:rsidRPr="004B1C12" w:rsidRDefault="003305E5" w:rsidP="003305E5">
            <w:pPr>
              <w:pStyle w:val="Rowcolumntitles"/>
              <w:rPr>
                <w:szCs w:val="22"/>
              </w:rPr>
            </w:pPr>
            <w:r w:rsidRPr="004B1C12">
              <w:rPr>
                <w:szCs w:val="22"/>
              </w:rPr>
              <w:t>Substantial or Complete Implementation</w:t>
            </w:r>
          </w:p>
        </w:tc>
        <w:tc>
          <w:tcPr>
            <w:tcW w:w="852" w:type="pct"/>
            <w:vAlign w:val="center"/>
          </w:tcPr>
          <w:p w:rsidR="003305E5" w:rsidRPr="004B1C12" w:rsidRDefault="003305E5" w:rsidP="003305E5">
            <w:pPr>
              <w:pStyle w:val="Rowcolumntitles"/>
              <w:rPr>
                <w:i/>
                <w:szCs w:val="22"/>
              </w:rPr>
            </w:pPr>
            <w:r>
              <w:rPr>
                <w:i/>
                <w:szCs w:val="22"/>
              </w:rPr>
              <w:t>14</w:t>
            </w:r>
          </w:p>
        </w:tc>
        <w:tc>
          <w:tcPr>
            <w:tcW w:w="957" w:type="pct"/>
            <w:vAlign w:val="center"/>
          </w:tcPr>
          <w:p w:rsidR="003305E5" w:rsidRPr="004B1C12" w:rsidRDefault="003305E5" w:rsidP="003305E5">
            <w:pPr>
              <w:pStyle w:val="Rowcolumntitles"/>
              <w:rPr>
                <w:i/>
                <w:szCs w:val="22"/>
              </w:rPr>
            </w:pPr>
            <w:r w:rsidRPr="00FC4A16">
              <w:rPr>
                <w:i/>
                <w:szCs w:val="22"/>
              </w:rPr>
              <w:t>17</w:t>
            </w:r>
          </w:p>
        </w:tc>
      </w:tr>
      <w:tr w:rsidR="003305E5" w:rsidRPr="004B1C12" w:rsidTr="003305E5">
        <w:tc>
          <w:tcPr>
            <w:tcW w:w="3191" w:type="pct"/>
          </w:tcPr>
          <w:p w:rsidR="003305E5" w:rsidRPr="004B1C12" w:rsidRDefault="003305E5" w:rsidP="003305E5">
            <w:pPr>
              <w:pStyle w:val="Ataglancesubtitle"/>
              <w:rPr>
                <w:szCs w:val="22"/>
              </w:rPr>
            </w:pPr>
            <w:r w:rsidRPr="004B1C12">
              <w:rPr>
                <w:szCs w:val="22"/>
              </w:rPr>
              <w:t>All Three (</w:t>
            </w:r>
            <w:r w:rsidRPr="004B1C12">
              <w:rPr>
                <w:rFonts w:ascii="MS Mincho" w:eastAsia="MS Mincho" w:hAnsi="MS Mincho" w:cs="MS Mincho"/>
                <w:szCs w:val="22"/>
              </w:rPr>
              <w:t>✪</w:t>
            </w:r>
            <w:r w:rsidRPr="004B1C12">
              <w:rPr>
                <w:szCs w:val="22"/>
              </w:rPr>
              <w:t>)</w:t>
            </w:r>
          </w:p>
        </w:tc>
        <w:tc>
          <w:tcPr>
            <w:tcW w:w="852" w:type="pct"/>
            <w:vAlign w:val="center"/>
          </w:tcPr>
          <w:p w:rsidR="003305E5" w:rsidRPr="004B1C12" w:rsidRDefault="003305E5" w:rsidP="003305E5">
            <w:pPr>
              <w:pStyle w:val="Rowcolumntitles"/>
              <w:rPr>
                <w:i/>
                <w:szCs w:val="22"/>
              </w:rPr>
            </w:pPr>
            <w:r>
              <w:rPr>
                <w:i/>
                <w:szCs w:val="22"/>
              </w:rPr>
              <w:t>3</w:t>
            </w:r>
          </w:p>
        </w:tc>
        <w:tc>
          <w:tcPr>
            <w:tcW w:w="957" w:type="pct"/>
            <w:vAlign w:val="center"/>
          </w:tcPr>
          <w:p w:rsidR="003305E5" w:rsidRPr="004B1C12" w:rsidRDefault="003305E5" w:rsidP="003305E5">
            <w:pPr>
              <w:pStyle w:val="Rowcolumntitles"/>
              <w:rPr>
                <w:i/>
                <w:szCs w:val="22"/>
              </w:rPr>
            </w:pPr>
            <w:r>
              <w:rPr>
                <w:i/>
                <w:szCs w:val="22"/>
              </w:rPr>
              <w:t>3</w:t>
            </w:r>
          </w:p>
        </w:tc>
      </w:tr>
      <w:tr w:rsidR="003305E5" w:rsidRPr="004B1C12" w:rsidTr="003305E5">
        <w:tc>
          <w:tcPr>
            <w:tcW w:w="5000" w:type="pct"/>
            <w:gridSpan w:val="3"/>
          </w:tcPr>
          <w:p w:rsidR="003305E5" w:rsidRPr="00FC4A16" w:rsidRDefault="003305E5" w:rsidP="003305E5">
            <w:pPr>
              <w:pStyle w:val="Ataglancesubtitle"/>
              <w:jc w:val="center"/>
              <w:rPr>
                <w:szCs w:val="22"/>
              </w:rPr>
            </w:pPr>
            <w:r w:rsidRPr="00FC4A16">
              <w:rPr>
                <w:szCs w:val="22"/>
              </w:rPr>
              <w:t>Did It Open government?</w:t>
            </w:r>
          </w:p>
        </w:tc>
      </w:tr>
      <w:tr w:rsidR="003305E5" w:rsidRPr="004B1C12" w:rsidTr="003305E5">
        <w:trPr>
          <w:trHeight w:val="404"/>
        </w:trPr>
        <w:tc>
          <w:tcPr>
            <w:tcW w:w="3191" w:type="pct"/>
          </w:tcPr>
          <w:p w:rsidR="003305E5" w:rsidRPr="00FC4A16" w:rsidRDefault="003305E5" w:rsidP="003305E5">
            <w:pPr>
              <w:pStyle w:val="Ataglancesubtitle"/>
              <w:rPr>
                <w:b w:val="0"/>
                <w:szCs w:val="22"/>
              </w:rPr>
            </w:pPr>
            <w:r w:rsidRPr="00FC4A16">
              <w:rPr>
                <w:b w:val="0"/>
                <w:szCs w:val="22"/>
              </w:rPr>
              <w:t>Major</w:t>
            </w:r>
          </w:p>
        </w:tc>
        <w:tc>
          <w:tcPr>
            <w:tcW w:w="1809" w:type="pct"/>
            <w:gridSpan w:val="2"/>
            <w:vAlign w:val="center"/>
          </w:tcPr>
          <w:p w:rsidR="003305E5" w:rsidRPr="004B1C12" w:rsidRDefault="00432F07" w:rsidP="003305E5">
            <w:pPr>
              <w:pStyle w:val="Rowcolumntitles"/>
              <w:jc w:val="center"/>
              <w:rPr>
                <w:szCs w:val="22"/>
                <w:highlight w:val="yellow"/>
              </w:rPr>
            </w:pPr>
            <w:r>
              <w:rPr>
                <w:i/>
                <w:szCs w:val="22"/>
              </w:rPr>
              <w:t>4</w:t>
            </w:r>
          </w:p>
        </w:tc>
      </w:tr>
      <w:tr w:rsidR="003305E5" w:rsidRPr="004B1C12" w:rsidTr="003305E5">
        <w:tc>
          <w:tcPr>
            <w:tcW w:w="3191" w:type="pct"/>
          </w:tcPr>
          <w:p w:rsidR="003305E5" w:rsidRPr="00FE5FA4" w:rsidRDefault="003305E5" w:rsidP="003305E5">
            <w:pPr>
              <w:pStyle w:val="Ataglancesubtitle"/>
              <w:rPr>
                <w:b w:val="0"/>
                <w:szCs w:val="22"/>
              </w:rPr>
            </w:pPr>
            <w:r w:rsidRPr="00FE5FA4">
              <w:rPr>
                <w:b w:val="0"/>
                <w:szCs w:val="22"/>
              </w:rPr>
              <w:t>Outstanding</w:t>
            </w:r>
          </w:p>
        </w:tc>
        <w:tc>
          <w:tcPr>
            <w:tcW w:w="1809" w:type="pct"/>
            <w:gridSpan w:val="2"/>
            <w:vAlign w:val="center"/>
          </w:tcPr>
          <w:p w:rsidR="003305E5" w:rsidRPr="004B1C12" w:rsidRDefault="003305E5" w:rsidP="003305E5">
            <w:pPr>
              <w:pStyle w:val="Rowcolumntitles"/>
              <w:jc w:val="center"/>
              <w:rPr>
                <w:szCs w:val="22"/>
                <w:highlight w:val="yellow"/>
              </w:rPr>
            </w:pPr>
            <w:r w:rsidRPr="00FC4A16">
              <w:rPr>
                <w:i/>
                <w:szCs w:val="22"/>
              </w:rPr>
              <w:t>0</w:t>
            </w:r>
          </w:p>
        </w:tc>
      </w:tr>
      <w:tr w:rsidR="003305E5" w:rsidRPr="004B1C12" w:rsidTr="003305E5">
        <w:trPr>
          <w:trHeight w:val="404"/>
        </w:trPr>
        <w:tc>
          <w:tcPr>
            <w:tcW w:w="5000" w:type="pct"/>
            <w:gridSpan w:val="3"/>
          </w:tcPr>
          <w:p w:rsidR="003305E5" w:rsidRPr="00780B24" w:rsidRDefault="003305E5" w:rsidP="003305E5">
            <w:pPr>
              <w:pStyle w:val="Ataglancesubtitle"/>
              <w:jc w:val="center"/>
              <w:rPr>
                <w:szCs w:val="22"/>
              </w:rPr>
            </w:pPr>
            <w:r w:rsidRPr="00780B24">
              <w:rPr>
                <w:szCs w:val="22"/>
              </w:rPr>
              <w:t>Moving Forward</w:t>
            </w:r>
          </w:p>
        </w:tc>
      </w:tr>
      <w:tr w:rsidR="003305E5" w:rsidRPr="004B1C12" w:rsidTr="003305E5">
        <w:trPr>
          <w:trHeight w:val="1070"/>
        </w:trPr>
        <w:tc>
          <w:tcPr>
            <w:tcW w:w="3191" w:type="pct"/>
          </w:tcPr>
          <w:p w:rsidR="003305E5" w:rsidRPr="00780B24" w:rsidRDefault="003305E5" w:rsidP="003305E5">
            <w:pPr>
              <w:rPr>
                <w:szCs w:val="22"/>
              </w:rPr>
            </w:pPr>
            <w:r w:rsidRPr="00780B24">
              <w:rPr>
                <w:szCs w:val="22"/>
              </w:rPr>
              <w:t>Number of Commitments Carried Over to Next Action Plan</w:t>
            </w:r>
          </w:p>
        </w:tc>
        <w:tc>
          <w:tcPr>
            <w:tcW w:w="1809" w:type="pct"/>
            <w:gridSpan w:val="2"/>
            <w:vAlign w:val="center"/>
          </w:tcPr>
          <w:p w:rsidR="003305E5" w:rsidRPr="00780B24" w:rsidRDefault="00780B24" w:rsidP="003305E5">
            <w:pPr>
              <w:pStyle w:val="Rowcolumntitles"/>
              <w:rPr>
                <w:i/>
                <w:szCs w:val="22"/>
              </w:rPr>
            </w:pPr>
            <w:r w:rsidRPr="00780B24">
              <w:rPr>
                <w:i/>
                <w:szCs w:val="22"/>
              </w:rPr>
              <w:t>6</w:t>
            </w:r>
          </w:p>
        </w:tc>
      </w:tr>
    </w:tbl>
    <w:p w:rsidR="00EF2CFA" w:rsidRPr="004B1C12" w:rsidRDefault="00CB3E97" w:rsidP="00416E6C">
      <w:pPr>
        <w:pStyle w:val="Title"/>
        <w:jc w:val="center"/>
        <w:rPr>
          <w:rFonts w:eastAsiaTheme="minorEastAsia"/>
          <w:smallCaps/>
          <w:color w:val="1F497D" w:themeColor="text2"/>
          <w:sz w:val="22"/>
          <w:szCs w:val="22"/>
        </w:rPr>
      </w:pPr>
      <w:r w:rsidRPr="004B1C12">
        <w:rPr>
          <w:noProof/>
          <w:color w:val="1F497D" w:themeColor="text2"/>
          <w:sz w:val="22"/>
          <w:szCs w:val="22"/>
        </w:rPr>
        <mc:AlternateContent>
          <mc:Choice Requires="wps">
            <w:drawing>
              <wp:anchor distT="0" distB="0" distL="114300" distR="114300" simplePos="0" relativeHeight="251656704" behindDoc="0" locked="0" layoutInCell="1" allowOverlap="1" wp14:anchorId="3A199D3E" wp14:editId="02756DDE">
                <wp:simplePos x="0" y="0"/>
                <wp:positionH relativeFrom="column">
                  <wp:posOffset>-33020</wp:posOffset>
                </wp:positionH>
                <wp:positionV relativeFrom="paragraph">
                  <wp:posOffset>318135</wp:posOffset>
                </wp:positionV>
                <wp:extent cx="6172200" cy="1118235"/>
                <wp:effectExtent l="0" t="0" r="0" b="0"/>
                <wp:wrapTight wrapText="bothSides">
                  <wp:wrapPolygon edited="0">
                    <wp:start x="89" y="0"/>
                    <wp:lineTo x="89" y="21097"/>
                    <wp:lineTo x="21422" y="21097"/>
                    <wp:lineTo x="21422" y="0"/>
                    <wp:lineTo x="89" y="0"/>
                  </wp:wrapPolygon>
                </wp:wrapTight>
                <wp:docPr id="1" name="Text Box 1"/>
                <wp:cNvGraphicFramePr/>
                <a:graphic xmlns:a="http://schemas.openxmlformats.org/drawingml/2006/main">
                  <a:graphicData uri="http://schemas.microsoft.com/office/word/2010/wordprocessingShape">
                    <wps:wsp>
                      <wps:cNvSpPr txBox="1"/>
                      <wps:spPr>
                        <a:xfrm>
                          <a:off x="0" y="0"/>
                          <a:ext cx="6172200" cy="1118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rsidR="00846D2A" w:rsidRPr="0068593E" w:rsidRDefault="00846D2A" w:rsidP="00F87BBF">
                            <w:pPr>
                              <w:pStyle w:val="Pullquote"/>
                              <w:rPr>
                                <w:lang w:val="en-GB"/>
                              </w:rPr>
                            </w:pPr>
                            <w:r>
                              <w:rPr>
                                <w:lang w:val="en-GB"/>
                              </w:rPr>
                              <w:t xml:space="preserve">Major achievements of Georgia’s third OGP action plan include introduction of verification of public officials’ asset declarations, launch of the budget monitor portal, as well as an Environmental Assessment Code designed to inform and engage citizens during permitting process. The plan did not deliver on the commitment to introduce the Freedom of Information Act, a key priority for the civil society.  </w:t>
                            </w:r>
                          </w:p>
                          <w:p w:rsidR="00846D2A" w:rsidRPr="00F87BBF" w:rsidRDefault="00846D2A" w:rsidP="00416E6C">
                            <w:pPr>
                              <w:pStyle w:val="Pullquote"/>
                              <w:rPr>
                                <w:lang w:val="en-GB"/>
                              </w:rPr>
                            </w:pPr>
                          </w:p>
                          <w:p w:rsidR="00846D2A" w:rsidRDefault="00846D2A" w:rsidP="00416E6C">
                            <w:pPr>
                              <w:pStyle w:val="Pullquote"/>
                            </w:pPr>
                          </w:p>
                          <w:p w:rsidR="00846D2A" w:rsidRPr="004B1C12" w:rsidRDefault="00846D2A" w:rsidP="00416E6C">
                            <w:pPr>
                              <w:pStyle w:val="Pullquote"/>
                            </w:pPr>
                            <w:r w:rsidRPr="004B1C12">
                              <w:t>2-3 sentence headline highlighting the report’s key takeaways and moving forward recommendation.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6pt;margin-top:25.05pt;width:486pt;height:8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PSXgIAAKgEAAAOAAAAZHJzL2Uyb0RvYy54bWysVE2P2jAQvVfqf7B8hySUz4iwyoKoKqHd&#10;laDas3EciJR4XNuQ0Kr/vWMnsHTbU9WLGc+8jGfem2H+0FQlOQttCpAJjfohJUJyyAp5SOjX3bo3&#10;pcRYJjNWghQJvQhDHxYfP8xrFYsBHKHMhCaYRJq4Vgk9WqviIDD8KCpm+qCExGAOumIWr/oQZJrV&#10;mL0qg0EYjoMadKY0cGEMeldtkC58/jwX3D7nuRGWlAnF2qw/tT/37gwWcxYfNFPHgndlsH+oomKF&#10;xEdvqVbMMnLSxR+pqoJrMJDbPocqgDwvuPA9YDdR+K6b7ZEp4XtBcoy60WT+X1r+dH7RpMhQO0ok&#10;q1CinWgseYSGRI6dWpkYQVuFMNug2yE7v0Gna7rJdeV+sR2CceT5cuPWJePoHEeTAQpGCcdYFEXT&#10;waeRyxO8fa60sZ8FVMQZCdUonueUnTfGttArxL0mYV2UJfpZXMrfHJiz9Qg/Ae3XLMZS0HRIV5RX&#10;58dyNBmkk9GsN05HUW8YhdNemoaD3mqdhmk4XC9nw8efXZ3X7wPHSdu7s2yzbzoGO172kF2QLg3t&#10;uBnF1wW2tGHGvjCN84U04M7YZzzyEuqEQmdRcgT9/W9+h0fZMUpJjfOaUPPtxLSgpPwicSBm0XDo&#10;BtxfhtgVXvR9ZH8fkadqCbgSKDpW502Ht+XVzDVUr7haqXsVQ0xyfDuh9moubbtFuJpcpKkH4Ugr&#10;Zjdyq7hL7Zh2gu2aV6ZVp6pFFp/gOtksfidui23VTE8W8sIr73huWcWJcRdcBz873eq6fbu/e9Tb&#10;H8ziFwAAAP//AwBQSwMEFAAGAAgAAAAhAExys2DdAAAACQEAAA8AAABkcnMvZG93bnJldi54bWxM&#10;j8FOwzAQRO9I/IO1SNxauxaJaBqnQiCuIFpA6s2Nt0lEvI5itwl/z3KC42hGM2/K7ex7ccExdoEM&#10;rJYKBFIdXEeNgff98+IeREyWnO0DoYFvjLCtrq9KW7gw0RtedqkRXEKxsAbalIZCyli36G1chgGJ&#10;vVMYvU0sx0a60U5c7nuplcqltx3xQmsHfGyx/tqdvYGPl9Ph8069Nk8+G6YwK0l+LY25vZkfNiAS&#10;zukvDL/4jA4VMx3DmVwUvYFFpjlpIFMrEOyv85yvHA1onWuQVSn/P6h+AAAA//8DAFBLAQItABQA&#10;BgAIAAAAIQC2gziS/gAAAOEBAAATAAAAAAAAAAAAAAAAAAAAAABbQ29udGVudF9UeXBlc10ueG1s&#10;UEsBAi0AFAAGAAgAAAAhADj9If/WAAAAlAEAAAsAAAAAAAAAAAAAAAAALwEAAF9yZWxzLy5yZWxz&#10;UEsBAi0AFAAGAAgAAAAhAG4zU9JeAgAAqAQAAA4AAAAAAAAAAAAAAAAALgIAAGRycy9lMm9Eb2Mu&#10;eG1sUEsBAi0AFAAGAAgAAAAhAExys2DdAAAACQEAAA8AAAAAAAAAAAAAAAAAuAQAAGRycy9kb3du&#10;cmV2LnhtbFBLBQYAAAAABAAEAPMAAADCBQAAAAA=&#10;" filled="f" stroked="f">
                <v:textbox>
                  <w:txbxContent>
                    <w:p w:rsidR="00846D2A" w:rsidRPr="0068593E" w:rsidRDefault="00846D2A" w:rsidP="00F87BBF">
                      <w:pPr>
                        <w:pStyle w:val="Pullquote"/>
                        <w:rPr>
                          <w:lang w:val="en-GB"/>
                        </w:rPr>
                      </w:pPr>
                      <w:r>
                        <w:rPr>
                          <w:lang w:val="en-GB"/>
                        </w:rPr>
                        <w:t xml:space="preserve">Major achievements of Georgia’s third OGP action plan include introduction of verification of public officials’ asset declarations, launch of the budget monitor portal, as well as an Environmental Assessment Code designed to inform and engage citizens during permitting process. The plan did not deliver on the commitment to introduce the Freedom of Information Act, a key priority for the civil society.  </w:t>
                      </w:r>
                    </w:p>
                    <w:p w:rsidR="00846D2A" w:rsidRPr="00F87BBF" w:rsidRDefault="00846D2A" w:rsidP="00416E6C">
                      <w:pPr>
                        <w:pStyle w:val="Pullquote"/>
                        <w:rPr>
                          <w:lang w:val="en-GB"/>
                        </w:rPr>
                      </w:pPr>
                    </w:p>
                    <w:p w:rsidR="00846D2A" w:rsidRDefault="00846D2A" w:rsidP="00416E6C">
                      <w:pPr>
                        <w:pStyle w:val="Pullquote"/>
                      </w:pPr>
                    </w:p>
                    <w:p w:rsidR="00846D2A" w:rsidRPr="004B1C12" w:rsidRDefault="00846D2A" w:rsidP="00416E6C">
                      <w:pPr>
                        <w:pStyle w:val="Pullquote"/>
                      </w:pPr>
                      <w:r w:rsidRPr="004B1C12">
                        <w:t>2-3 sentence headline highlighting the report’s key takeaways and moving forward recommendation.</w:t>
                      </w:r>
                    </w:p>
                  </w:txbxContent>
                </v:textbox>
                <w10:wrap type="tight"/>
              </v:shape>
            </w:pict>
          </mc:Fallback>
        </mc:AlternateContent>
      </w:r>
      <w:r w:rsidR="00050CE5" w:rsidRPr="004B1C12">
        <w:rPr>
          <w:color w:val="1F497D" w:themeColor="text2"/>
          <w:sz w:val="22"/>
          <w:szCs w:val="22"/>
        </w:rPr>
        <w:t>Independent Reporting Mechanism (IRM)</w:t>
      </w:r>
      <w:r w:rsidR="000657FE" w:rsidRPr="004B1C12">
        <w:rPr>
          <w:color w:val="1F497D" w:themeColor="text2"/>
          <w:sz w:val="22"/>
          <w:szCs w:val="22"/>
        </w:rPr>
        <w:t xml:space="preserve"> </w:t>
      </w:r>
      <w:r w:rsidR="00EB323A" w:rsidRPr="004B1C12">
        <w:rPr>
          <w:color w:val="1F497D" w:themeColor="text2"/>
          <w:sz w:val="22"/>
          <w:szCs w:val="22"/>
        </w:rPr>
        <w:t>End</w:t>
      </w:r>
      <w:r w:rsidR="0061348F" w:rsidRPr="004B1C12">
        <w:rPr>
          <w:color w:val="1F497D" w:themeColor="text2"/>
          <w:sz w:val="22"/>
          <w:szCs w:val="22"/>
        </w:rPr>
        <w:t>-</w:t>
      </w:r>
      <w:r w:rsidR="00EB323A" w:rsidRPr="004B1C12">
        <w:rPr>
          <w:color w:val="1F497D" w:themeColor="text2"/>
          <w:sz w:val="22"/>
          <w:szCs w:val="22"/>
        </w:rPr>
        <w:t>of</w:t>
      </w:r>
      <w:r w:rsidR="0061348F" w:rsidRPr="004B1C12">
        <w:rPr>
          <w:color w:val="1F497D" w:themeColor="text2"/>
          <w:sz w:val="22"/>
          <w:szCs w:val="22"/>
        </w:rPr>
        <w:t>-</w:t>
      </w:r>
      <w:r w:rsidR="00357371" w:rsidRPr="004B1C12">
        <w:rPr>
          <w:color w:val="1F497D" w:themeColor="text2"/>
          <w:sz w:val="22"/>
          <w:szCs w:val="22"/>
        </w:rPr>
        <w:t xml:space="preserve">Term </w:t>
      </w:r>
      <w:r w:rsidR="00EB323A" w:rsidRPr="004B1C12">
        <w:rPr>
          <w:color w:val="1F497D" w:themeColor="text2"/>
          <w:sz w:val="22"/>
          <w:szCs w:val="22"/>
        </w:rPr>
        <w:t>Report</w:t>
      </w:r>
      <w:r w:rsidR="00050CE5" w:rsidRPr="004B1C12">
        <w:rPr>
          <w:color w:val="1F497D" w:themeColor="text2"/>
          <w:sz w:val="22"/>
          <w:szCs w:val="22"/>
        </w:rPr>
        <w:t xml:space="preserve"> </w:t>
      </w:r>
      <w:r w:rsidR="00162C40">
        <w:rPr>
          <w:color w:val="1F497D" w:themeColor="text2"/>
          <w:sz w:val="22"/>
          <w:szCs w:val="22"/>
        </w:rPr>
        <w:t>201</w:t>
      </w:r>
      <w:r w:rsidR="00453494">
        <w:rPr>
          <w:color w:val="1F497D" w:themeColor="text2"/>
          <w:sz w:val="22"/>
          <w:szCs w:val="22"/>
        </w:rPr>
        <w:t>6</w:t>
      </w:r>
      <w:r w:rsidR="00162C40">
        <w:rPr>
          <w:color w:val="1F497D" w:themeColor="text2"/>
          <w:sz w:val="22"/>
          <w:szCs w:val="22"/>
        </w:rPr>
        <w:t>-2018</w:t>
      </w:r>
    </w:p>
    <w:p w:rsidR="00790B3C" w:rsidRPr="004B1C12" w:rsidRDefault="00790B3C" w:rsidP="00B0395A">
      <w:pPr>
        <w:pStyle w:val="Normalrglronly"/>
        <w:rPr>
          <w:color w:val="1F497D" w:themeColor="text2"/>
        </w:rPr>
        <w:sectPr w:rsidR="00790B3C" w:rsidRPr="004B1C12" w:rsidSect="000278C1">
          <w:endnotePr>
            <w:numFmt w:val="decimal"/>
            <w:numRestart w:val="eachSect"/>
          </w:endnotePr>
          <w:pgSz w:w="11907" w:h="16839" w:code="9"/>
          <w:pgMar w:top="1134" w:right="1417" w:bottom="1417" w:left="1417" w:header="0" w:footer="0" w:gutter="0"/>
          <w:cols w:space="708"/>
          <w:titlePg/>
          <w:docGrid w:linePitch="360"/>
        </w:sectPr>
      </w:pPr>
    </w:p>
    <w:p w:rsidR="00E21DE3" w:rsidRPr="004B1C12" w:rsidRDefault="00E21DE3" w:rsidP="00B0395A">
      <w:pPr>
        <w:pStyle w:val="Normalrglronly"/>
        <w:sectPr w:rsidR="00E21DE3" w:rsidRPr="004B1C12" w:rsidSect="00790B3C">
          <w:endnotePr>
            <w:numFmt w:val="decimal"/>
            <w:numRestart w:val="eachSect"/>
          </w:endnotePr>
          <w:type w:val="continuous"/>
          <w:pgSz w:w="11907" w:h="16839" w:code="9"/>
          <w:pgMar w:top="1417" w:right="1417" w:bottom="1417" w:left="1417" w:header="0" w:footer="0" w:gutter="0"/>
          <w:cols w:num="2" w:space="708"/>
          <w:titlePg/>
          <w:docGrid w:linePitch="360"/>
        </w:sectPr>
      </w:pPr>
    </w:p>
    <w:p w:rsidR="00824279" w:rsidRPr="00F87BBF" w:rsidRDefault="00790B3C" w:rsidP="00B0395A">
      <w:pPr>
        <w:pStyle w:val="Normalrglronly"/>
      </w:pPr>
      <w:r w:rsidRPr="004B1C12">
        <w:lastRenderedPageBreak/>
        <w:t xml:space="preserve">The Open Government Partnership (OGP) is a voluntary international initiative that aims to secure commitments from governments to their citizenry to promote transparency, empower citizens, fight corruption, and harness new technologies to strengthen governance. The Independent Reporting </w:t>
      </w:r>
      <w:r w:rsidRPr="00F87BBF">
        <w:rPr>
          <w:color w:val="auto"/>
        </w:rPr>
        <w:t xml:space="preserve">Mechanism (IRM) carries out a review of the activities of each </w:t>
      </w:r>
      <w:r w:rsidR="00357371" w:rsidRPr="00F87BBF">
        <w:rPr>
          <w:color w:val="auto"/>
        </w:rPr>
        <w:t>OGP-</w:t>
      </w:r>
      <w:r w:rsidRPr="00F87BBF">
        <w:rPr>
          <w:color w:val="auto"/>
        </w:rPr>
        <w:t>participating country. This report summarizes the</w:t>
      </w:r>
      <w:r w:rsidR="00AB0B4F" w:rsidRPr="00F87BBF">
        <w:rPr>
          <w:color w:val="auto"/>
        </w:rPr>
        <w:t xml:space="preserve"> results of the period </w:t>
      </w:r>
      <w:r w:rsidR="00F87BBF">
        <w:rPr>
          <w:color w:val="auto"/>
        </w:rPr>
        <w:t xml:space="preserve">from </w:t>
      </w:r>
      <w:r w:rsidR="00F87BBF" w:rsidRPr="00F87BBF">
        <w:rPr>
          <w:color w:val="auto"/>
        </w:rPr>
        <w:t>July 201</w:t>
      </w:r>
      <w:r w:rsidR="006721AE">
        <w:rPr>
          <w:color w:val="auto"/>
        </w:rPr>
        <w:t>6</w:t>
      </w:r>
      <w:r w:rsidRPr="00F87BBF">
        <w:rPr>
          <w:color w:val="auto"/>
        </w:rPr>
        <w:t xml:space="preserve"> to </w:t>
      </w:r>
      <w:r w:rsidR="00F87BBF" w:rsidRPr="00F87BBF">
        <w:rPr>
          <w:color w:val="auto"/>
        </w:rPr>
        <w:t xml:space="preserve">July 2018 </w:t>
      </w:r>
      <w:r w:rsidRPr="00F87BBF">
        <w:rPr>
          <w:color w:val="auto"/>
        </w:rPr>
        <w:t xml:space="preserve">and includes some relevant developments up to </w:t>
      </w:r>
      <w:r w:rsidR="00F87BBF" w:rsidRPr="00F87BBF">
        <w:rPr>
          <w:color w:val="auto"/>
        </w:rPr>
        <w:t xml:space="preserve">October 2018. </w:t>
      </w:r>
      <w:r w:rsidRPr="00F87BBF">
        <w:rPr>
          <w:color w:val="auto"/>
        </w:rPr>
        <w:t xml:space="preserve"> </w:t>
      </w:r>
    </w:p>
    <w:p w:rsidR="00F87BBF" w:rsidRDefault="00C50594" w:rsidP="00B0395A">
      <w:pPr>
        <w:pStyle w:val="Normalrglronly"/>
        <w:rPr>
          <w:b/>
          <w:i/>
          <w:color w:val="1F497D" w:themeColor="text2"/>
        </w:rPr>
      </w:pPr>
      <w:r>
        <w:rPr>
          <w:color w:val="000000"/>
        </w:rPr>
        <w:t>T</w:t>
      </w:r>
      <w:r w:rsidRPr="008D2D07">
        <w:rPr>
          <w:color w:val="000000"/>
        </w:rPr>
        <w:t xml:space="preserve">he </w:t>
      </w:r>
      <w:r>
        <w:rPr>
          <w:color w:val="000000"/>
        </w:rPr>
        <w:t xml:space="preserve">Analytical Department of the </w:t>
      </w:r>
      <w:r w:rsidRPr="008D2D07">
        <w:rPr>
          <w:color w:val="000000"/>
        </w:rPr>
        <w:t xml:space="preserve">Ministry of Justice (MoJ) serves as Open Government Georgia’s Secretariat. </w:t>
      </w:r>
      <w:r w:rsidR="00F87BBF">
        <w:rPr>
          <w:color w:val="000000"/>
        </w:rPr>
        <w:t xml:space="preserve">The OGP Forum, </w:t>
      </w:r>
      <w:r>
        <w:rPr>
          <w:color w:val="000000"/>
        </w:rPr>
        <w:t>is a multi-stakeholder group</w:t>
      </w:r>
      <w:r w:rsidR="00F87BBF">
        <w:rPr>
          <w:color w:val="000000"/>
        </w:rPr>
        <w:t xml:space="preserve"> supporting the development and implementation of the national action plan.</w:t>
      </w:r>
      <w:r>
        <w:rPr>
          <w:color w:val="000000"/>
        </w:rPr>
        <w:t xml:space="preserve"> </w:t>
      </w:r>
      <w:r w:rsidR="00F87BBF">
        <w:rPr>
          <w:color w:val="000000"/>
        </w:rPr>
        <w:t xml:space="preserve">The Forum </w:t>
      </w:r>
      <w:r>
        <w:rPr>
          <w:color w:val="000000"/>
        </w:rPr>
        <w:t xml:space="preserve">is </w:t>
      </w:r>
      <w:r w:rsidR="00F87BBF">
        <w:rPr>
          <w:color w:val="000000"/>
        </w:rPr>
        <w:t xml:space="preserve">composed of around </w:t>
      </w:r>
      <w:r w:rsidR="00F87BBF" w:rsidRPr="008D2D07">
        <w:t xml:space="preserve">40 members, </w:t>
      </w:r>
      <w:r w:rsidR="00F87BBF" w:rsidRPr="008D2D07">
        <w:rPr>
          <w:color w:val="000000"/>
        </w:rPr>
        <w:t xml:space="preserve">including different public agencies, </w:t>
      </w:r>
      <w:r w:rsidR="00F87BBF">
        <w:rPr>
          <w:color w:val="000000"/>
        </w:rPr>
        <w:t xml:space="preserve">such as line </w:t>
      </w:r>
      <w:r>
        <w:rPr>
          <w:color w:val="000000"/>
        </w:rPr>
        <w:t>m</w:t>
      </w:r>
      <w:r w:rsidR="00F87BBF">
        <w:rPr>
          <w:color w:val="000000"/>
        </w:rPr>
        <w:t xml:space="preserve">inistries, independent entities, Legal Entities of Public Law (LEPL), </w:t>
      </w:r>
      <w:r w:rsidR="00F87BBF" w:rsidRPr="008D2D07">
        <w:rPr>
          <w:color w:val="000000"/>
        </w:rPr>
        <w:t>CSOs, and international organizations.</w:t>
      </w:r>
      <w:r w:rsidR="00F87BBF">
        <w:rPr>
          <w:color w:val="000000"/>
        </w:rPr>
        <w:t xml:space="preserve"> The commitments are carried out by various public agencies of the government, and both at national and local levels.</w:t>
      </w:r>
      <w:r>
        <w:rPr>
          <w:color w:val="000000"/>
        </w:rPr>
        <w:t xml:space="preserve"> </w:t>
      </w:r>
    </w:p>
    <w:p w:rsidR="0015504F" w:rsidRDefault="00FB39D4" w:rsidP="00047BAC">
      <w:pPr>
        <w:pStyle w:val="Normalrglronly"/>
        <w:rPr>
          <w:color w:val="000000"/>
        </w:rPr>
      </w:pPr>
      <w:r>
        <w:rPr>
          <w:color w:val="000000"/>
        </w:rPr>
        <w:t xml:space="preserve">Georgia’s third </w:t>
      </w:r>
      <w:r w:rsidRPr="00D973EB">
        <w:rPr>
          <w:color w:val="000000"/>
        </w:rPr>
        <w:t>action plan cover</w:t>
      </w:r>
      <w:r w:rsidR="00C50594">
        <w:rPr>
          <w:color w:val="000000"/>
        </w:rPr>
        <w:t>ed</w:t>
      </w:r>
      <w:r w:rsidRPr="00D973EB">
        <w:rPr>
          <w:color w:val="000000"/>
        </w:rPr>
        <w:t xml:space="preserve"> a wide range of areas compared to previous action plans, such as environment, energy, </w:t>
      </w:r>
      <w:r w:rsidR="00C50594">
        <w:rPr>
          <w:color w:val="000000"/>
        </w:rPr>
        <w:t>courts</w:t>
      </w:r>
      <w:r w:rsidRPr="00D973EB">
        <w:rPr>
          <w:color w:val="000000"/>
        </w:rPr>
        <w:t xml:space="preserve"> as well as </w:t>
      </w:r>
      <w:r>
        <w:rPr>
          <w:color w:val="000000"/>
        </w:rPr>
        <w:t xml:space="preserve">new </w:t>
      </w:r>
      <w:r w:rsidR="00C50594">
        <w:rPr>
          <w:color w:val="000000"/>
        </w:rPr>
        <w:t>implementing entities</w:t>
      </w:r>
      <w:r>
        <w:rPr>
          <w:color w:val="000000"/>
        </w:rPr>
        <w:t>, such as</w:t>
      </w:r>
      <w:r w:rsidR="00C50594">
        <w:rPr>
          <w:color w:val="000000"/>
        </w:rPr>
        <w:t xml:space="preserve"> municipal</w:t>
      </w:r>
      <w:r>
        <w:rPr>
          <w:color w:val="000000"/>
        </w:rPr>
        <w:t xml:space="preserve"> </w:t>
      </w:r>
      <w:r w:rsidRPr="00D973EB">
        <w:rPr>
          <w:color w:val="000000"/>
        </w:rPr>
        <w:t>local government</w:t>
      </w:r>
      <w:r>
        <w:rPr>
          <w:color w:val="000000"/>
        </w:rPr>
        <w:t xml:space="preserve">s. </w:t>
      </w:r>
      <w:r w:rsidR="00047BAC">
        <w:rPr>
          <w:color w:val="000000"/>
        </w:rPr>
        <w:t>By the mid-term point, the IRM identified three starred commitments, including the creati</w:t>
      </w:r>
      <w:r w:rsidR="00C50594">
        <w:rPr>
          <w:color w:val="000000"/>
        </w:rPr>
        <w:t>on of</w:t>
      </w:r>
      <w:r w:rsidR="00047BAC">
        <w:rPr>
          <w:color w:val="000000"/>
        </w:rPr>
        <w:t xml:space="preserve"> the verification mechanism for monitoring public </w:t>
      </w:r>
      <w:r w:rsidR="00047BAC">
        <w:rPr>
          <w:color w:val="000000"/>
        </w:rPr>
        <w:lastRenderedPageBreak/>
        <w:t>officials’ asset declarations, launching unified online portal for increasing the transparency and accountability of public expenditures, and adopting the Environmental Assessment Code</w:t>
      </w:r>
      <w:r w:rsidR="00C50594">
        <w:rPr>
          <w:color w:val="000000"/>
        </w:rPr>
        <w:t>.</w:t>
      </w:r>
    </w:p>
    <w:p w:rsidR="00617421" w:rsidRDefault="006721AE" w:rsidP="006721AE">
      <w:pPr>
        <w:pStyle w:val="Normalrglronly"/>
        <w:rPr>
          <w:color w:val="000000"/>
        </w:rPr>
      </w:pPr>
      <w:r>
        <w:rPr>
          <w:color w:val="000000"/>
        </w:rPr>
        <w:t xml:space="preserve">The Government of Georgia officially submitted its fourth National Action Plan 2018-2019 to OGP on November 30, 2018. </w:t>
      </w:r>
    </w:p>
    <w:p w:rsidR="00C63ADF" w:rsidRPr="003247F2" w:rsidRDefault="00C63ADF" w:rsidP="003247F2">
      <w:pPr>
        <w:pStyle w:val="Normalrglronly"/>
        <w:rPr>
          <w:lang w:val="en-GB"/>
        </w:rPr>
        <w:sectPr w:rsidR="00C63ADF" w:rsidRPr="003247F2" w:rsidSect="00E21DE3">
          <w:endnotePr>
            <w:numFmt w:val="decimal"/>
            <w:numRestart w:val="eachSect"/>
          </w:endnotePr>
          <w:type w:val="continuous"/>
          <w:pgSz w:w="11907" w:h="16839" w:code="9"/>
          <w:pgMar w:top="1417" w:right="1417" w:bottom="1417" w:left="1417" w:header="0" w:footer="0" w:gutter="0"/>
          <w:cols w:space="708"/>
          <w:titlePg/>
          <w:docGrid w:linePitch="360"/>
        </w:sectPr>
      </w:pPr>
      <w:r>
        <w:t>Out of the 11 unfinished commitments</w:t>
      </w:r>
      <w:r w:rsidR="00CB4A7E">
        <w:t xml:space="preserve"> of the total 24</w:t>
      </w:r>
      <w:r>
        <w:t xml:space="preserve">, only two are </w:t>
      </w:r>
      <w:r w:rsidR="003368A4">
        <w:t>part</w:t>
      </w:r>
      <w:r>
        <w:t xml:space="preserve"> </w:t>
      </w:r>
      <w:r w:rsidR="003368A4">
        <w:t>of</w:t>
      </w:r>
      <w:r>
        <w:t xml:space="preserve"> the new </w:t>
      </w:r>
      <w:r w:rsidR="003247F2">
        <w:t>Action Plan for 2018-2019</w:t>
      </w:r>
      <w:r w:rsidR="00756CAE">
        <w:rPr>
          <w:rStyle w:val="EndnoteReference"/>
        </w:rPr>
        <w:endnoteReference w:id="2"/>
      </w:r>
      <w:r w:rsidR="00CA5D49">
        <w:t>,</w:t>
      </w:r>
      <w:r>
        <w:t xml:space="preserve"> including </w:t>
      </w:r>
      <w:r w:rsidR="003247F2" w:rsidRPr="00C63ADF">
        <w:t>commitment</w:t>
      </w:r>
      <w:r w:rsidR="003247F2">
        <w:t xml:space="preserve"> of</w:t>
      </w:r>
      <w:r w:rsidR="003247F2" w:rsidRPr="00C63ADF">
        <w:t xml:space="preserve"> </w:t>
      </w:r>
      <w:r w:rsidRPr="00C63ADF">
        <w:t>the Supreme Court to proactively publish court decisions in a unified d</w:t>
      </w:r>
      <w:r>
        <w:t xml:space="preserve">atabase at </w:t>
      </w:r>
      <w:hyperlink r:id="rId15" w:history="1">
        <w:r w:rsidRPr="00D25412">
          <w:rPr>
            <w:rStyle w:val="Hyperlink"/>
          </w:rPr>
          <w:t>http://info.court.ge</w:t>
        </w:r>
      </w:hyperlink>
      <w:r>
        <w:t xml:space="preserve">, and </w:t>
      </w:r>
      <w:r>
        <w:rPr>
          <w:lang w:val="en-GB"/>
        </w:rPr>
        <w:t>the commitment</w:t>
      </w:r>
      <w:r w:rsidR="003247F2">
        <w:rPr>
          <w:lang w:val="en-GB"/>
        </w:rPr>
        <w:t xml:space="preserve"> </w:t>
      </w:r>
      <w:r>
        <w:rPr>
          <w:lang w:val="en-GB"/>
        </w:rPr>
        <w:t>of the S</w:t>
      </w:r>
      <w:r w:rsidR="003247F2">
        <w:rPr>
          <w:lang w:val="en-GB"/>
        </w:rPr>
        <w:t xml:space="preserve">tate Procurement Agency, which </w:t>
      </w:r>
      <w:r>
        <w:rPr>
          <w:lang w:val="en-GB"/>
        </w:rPr>
        <w:t xml:space="preserve">plans to integrate the e-Plan module and annual procurement plans of procuring entities into the new database of aggregated tenders at </w:t>
      </w:r>
      <w:hyperlink r:id="rId16" w:anchor="/" w:history="1">
        <w:r w:rsidRPr="008E5E74">
          <w:rPr>
            <w:rStyle w:val="Hyperlink"/>
            <w:lang w:val="en-GB"/>
          </w:rPr>
          <w:t>http://opendata.spa.ge/#/</w:t>
        </w:r>
      </w:hyperlink>
      <w:r>
        <w:rPr>
          <w:lang w:val="en-GB"/>
        </w:rPr>
        <w:t xml:space="preserve"> and to publish this data in open data format.</w:t>
      </w:r>
      <w:r w:rsidR="003247F2">
        <w:rPr>
          <w:lang w:val="en-GB"/>
        </w:rPr>
        <w:t xml:space="preserve"> Additionally, three new commitments in the new NAP are related to the existing commitments, namely: creation of the innovative platform for citizen engagement by Public Service Hall (commitment 2 under the new NAP), launching feedback mechanism for </w:t>
      </w:r>
      <w:r w:rsidR="003247F2" w:rsidRPr="003247F2">
        <w:rPr>
          <w:lang w:val="en-GB"/>
        </w:rPr>
        <w:t>increased citizen participation in oversight of public finances</w:t>
      </w:r>
      <w:r w:rsidR="003247F2">
        <w:rPr>
          <w:lang w:val="en-GB"/>
        </w:rPr>
        <w:t xml:space="preserve"> State Audit Office (commitment 11), and </w:t>
      </w:r>
      <w:r w:rsidR="003247F2" w:rsidRPr="003247F2">
        <w:rPr>
          <w:lang w:val="en-GB"/>
        </w:rPr>
        <w:t>activation of an electronic portal for meeting the Environmental Assessment Code requirements by the Ministry of Environmental Protection and Agriculture (commitment 5).</w:t>
      </w:r>
      <w:r w:rsidR="003247F2">
        <w:rPr>
          <w:lang w:val="en-GB"/>
        </w:rPr>
        <w:t xml:space="preserve"> These commitments aim </w:t>
      </w:r>
      <w:r w:rsidR="003368A4">
        <w:rPr>
          <w:lang w:val="en-GB"/>
        </w:rPr>
        <w:t xml:space="preserve">to </w:t>
      </w:r>
      <w:r w:rsidR="003247F2">
        <w:rPr>
          <w:lang w:val="en-GB"/>
        </w:rPr>
        <w:t>improv</w:t>
      </w:r>
      <w:r w:rsidR="003368A4">
        <w:rPr>
          <w:lang w:val="en-GB"/>
        </w:rPr>
        <w:t>e</w:t>
      </w:r>
      <w:r w:rsidR="003247F2">
        <w:rPr>
          <w:lang w:val="en-GB"/>
        </w:rPr>
        <w:t xml:space="preserve"> the existing initiatives. Of these three, only one has not been fully implemented (commitment 16 on the adoption of the Environmental Assessment Code). </w:t>
      </w:r>
    </w:p>
    <w:p w:rsidR="00617421" w:rsidRPr="0010229D" w:rsidRDefault="00617421" w:rsidP="00FE5928">
      <w:pPr>
        <w:pStyle w:val="Heading3"/>
      </w:pPr>
      <w:r w:rsidRPr="0010229D">
        <w:lastRenderedPageBreak/>
        <w:t>Consultation with Civil Society during Implementation</w:t>
      </w:r>
    </w:p>
    <w:p w:rsidR="00617421" w:rsidRPr="004B1C12" w:rsidRDefault="00617421" w:rsidP="00B0395A">
      <w:pPr>
        <w:pStyle w:val="Normalrglronly"/>
        <w:rPr>
          <w:b/>
          <w:i/>
          <w:color w:val="1F497D" w:themeColor="text2"/>
        </w:rPr>
      </w:pPr>
      <w:r w:rsidRPr="004B1C12">
        <w:t>Countries participating in OGP follow a process for consultation during development and implementation</w:t>
      </w:r>
      <w:r>
        <w:t xml:space="preserve"> of their action plan.</w:t>
      </w:r>
    </w:p>
    <w:p w:rsidR="00617421" w:rsidRDefault="00617421" w:rsidP="00D8158D">
      <w:pPr>
        <w:tabs>
          <w:tab w:val="clear" w:pos="2880"/>
        </w:tabs>
        <w:textAlignment w:val="baseline"/>
        <w:rPr>
          <w:rFonts w:eastAsia="Times New Roman"/>
          <w:szCs w:val="22"/>
        </w:rPr>
      </w:pPr>
      <w:r w:rsidRPr="00D8158D">
        <w:rPr>
          <w:color w:val="auto"/>
          <w:szCs w:val="22"/>
        </w:rPr>
        <w:t xml:space="preserve">The consultation process during the implementation was a centralized process, with all consultation events taking place at the Ministry of Justice in </w:t>
      </w:r>
      <w:r>
        <w:rPr>
          <w:szCs w:val="22"/>
        </w:rPr>
        <w:t xml:space="preserve">the capital </w:t>
      </w:r>
      <w:r w:rsidRPr="00D8158D">
        <w:rPr>
          <w:color w:val="auto"/>
          <w:szCs w:val="22"/>
        </w:rPr>
        <w:t xml:space="preserve">Tbilisi or through exchanging comments and recommendations in written form. </w:t>
      </w:r>
      <w:r>
        <w:rPr>
          <w:szCs w:val="22"/>
        </w:rPr>
        <w:t xml:space="preserve">The main coordination mechanism, </w:t>
      </w:r>
      <w:r w:rsidR="00251E32">
        <w:rPr>
          <w:szCs w:val="22"/>
        </w:rPr>
        <w:t xml:space="preserve">the </w:t>
      </w:r>
      <w:r>
        <w:rPr>
          <w:szCs w:val="22"/>
        </w:rPr>
        <w:t xml:space="preserve">OGP </w:t>
      </w:r>
      <w:r>
        <w:rPr>
          <w:rFonts w:eastAsia="Times New Roman"/>
          <w:szCs w:val="22"/>
        </w:rPr>
        <w:t xml:space="preserve">Forum, met once </w:t>
      </w:r>
      <w:r w:rsidR="00C72C14">
        <w:rPr>
          <w:rFonts w:eastAsia="Times New Roman"/>
          <w:szCs w:val="22"/>
        </w:rPr>
        <w:t xml:space="preserve">every </w:t>
      </w:r>
      <w:r>
        <w:rPr>
          <w:rFonts w:eastAsia="Times New Roman"/>
          <w:szCs w:val="22"/>
        </w:rPr>
        <w:t xml:space="preserve">two or three </w:t>
      </w:r>
      <w:r w:rsidRPr="00D8158D">
        <w:rPr>
          <w:rFonts w:eastAsia="Times New Roman"/>
          <w:color w:val="auto"/>
          <w:szCs w:val="22"/>
        </w:rPr>
        <w:t xml:space="preserve">months. </w:t>
      </w:r>
      <w:r>
        <w:rPr>
          <w:rFonts w:eastAsia="Times New Roman"/>
          <w:szCs w:val="22"/>
        </w:rPr>
        <w:t>The a</w:t>
      </w:r>
      <w:r w:rsidRPr="00D8158D">
        <w:rPr>
          <w:rFonts w:eastAsia="Times New Roman"/>
          <w:color w:val="auto"/>
          <w:szCs w:val="22"/>
        </w:rPr>
        <w:t xml:space="preserve">genda </w:t>
      </w:r>
      <w:r>
        <w:rPr>
          <w:rFonts w:eastAsia="Times New Roman"/>
          <w:szCs w:val="22"/>
        </w:rPr>
        <w:t xml:space="preserve">of meetings </w:t>
      </w:r>
      <w:r w:rsidRPr="00D8158D">
        <w:rPr>
          <w:rFonts w:eastAsia="Times New Roman"/>
          <w:color w:val="auto"/>
          <w:szCs w:val="22"/>
        </w:rPr>
        <w:t xml:space="preserve">was split between discussing implementation of the </w:t>
      </w:r>
      <w:r>
        <w:rPr>
          <w:rFonts w:eastAsia="Times New Roman"/>
          <w:szCs w:val="22"/>
        </w:rPr>
        <w:t>third action plan,</w:t>
      </w:r>
      <w:r w:rsidRPr="00D8158D">
        <w:rPr>
          <w:rFonts w:eastAsia="Times New Roman"/>
          <w:color w:val="auto"/>
          <w:szCs w:val="22"/>
        </w:rPr>
        <w:t xml:space="preserve"> development of commitments for the new </w:t>
      </w:r>
      <w:r>
        <w:rPr>
          <w:rFonts w:eastAsia="Times New Roman"/>
          <w:szCs w:val="22"/>
        </w:rPr>
        <w:t>action plan</w:t>
      </w:r>
      <w:r w:rsidRPr="00D8158D">
        <w:rPr>
          <w:rFonts w:eastAsia="Times New Roman"/>
          <w:color w:val="auto"/>
          <w:szCs w:val="22"/>
        </w:rPr>
        <w:t xml:space="preserve">, as well as the </w:t>
      </w:r>
      <w:r>
        <w:rPr>
          <w:rFonts w:eastAsia="Times New Roman"/>
          <w:szCs w:val="22"/>
        </w:rPr>
        <w:t>OGP Summit of July 2018 hosted by the Government of Georgia in Tbilisi</w:t>
      </w:r>
      <w:r w:rsidRPr="00D8158D">
        <w:rPr>
          <w:rFonts w:eastAsia="Times New Roman"/>
          <w:color w:val="auto"/>
          <w:szCs w:val="22"/>
        </w:rPr>
        <w:t xml:space="preserve">. </w:t>
      </w:r>
      <w:r>
        <w:rPr>
          <w:rFonts w:eastAsia="Times New Roman"/>
          <w:szCs w:val="22"/>
        </w:rPr>
        <w:t xml:space="preserve">For this reason, </w:t>
      </w:r>
      <w:r w:rsidRPr="00D8158D">
        <w:rPr>
          <w:rFonts w:eastAsia="Times New Roman"/>
          <w:color w:val="auto"/>
          <w:szCs w:val="22"/>
        </w:rPr>
        <w:t xml:space="preserve">discussions </w:t>
      </w:r>
      <w:r>
        <w:rPr>
          <w:rFonts w:eastAsia="Times New Roman"/>
          <w:szCs w:val="22"/>
        </w:rPr>
        <w:t xml:space="preserve">in the months prior to the Summit </w:t>
      </w:r>
      <w:r w:rsidRPr="00D8158D">
        <w:rPr>
          <w:rFonts w:eastAsia="Times New Roman"/>
          <w:color w:val="auto"/>
          <w:szCs w:val="22"/>
        </w:rPr>
        <w:t xml:space="preserve">shifted </w:t>
      </w:r>
      <w:r>
        <w:rPr>
          <w:rFonts w:eastAsia="Times New Roman"/>
          <w:szCs w:val="22"/>
        </w:rPr>
        <w:t>towards planning of the event as opposed to the implementation of the third action plan.</w:t>
      </w:r>
      <w:r>
        <w:rPr>
          <w:rStyle w:val="EndnoteReference"/>
          <w:rFonts w:eastAsia="Times New Roman"/>
          <w:szCs w:val="22"/>
        </w:rPr>
        <w:endnoteReference w:id="3"/>
      </w:r>
      <w:r>
        <w:rPr>
          <w:rFonts w:eastAsia="Times New Roman"/>
          <w:szCs w:val="22"/>
        </w:rPr>
        <w:t xml:space="preserve"> </w:t>
      </w:r>
    </w:p>
    <w:p w:rsidR="00617421" w:rsidRDefault="00617421" w:rsidP="00D8158D">
      <w:pPr>
        <w:tabs>
          <w:tab w:val="clear" w:pos="2880"/>
        </w:tabs>
        <w:textAlignment w:val="baseline"/>
        <w:rPr>
          <w:rFonts w:eastAsia="Times New Roman"/>
          <w:szCs w:val="22"/>
        </w:rPr>
      </w:pPr>
    </w:p>
    <w:p w:rsidR="00617421" w:rsidRPr="00D8158D" w:rsidRDefault="00617421" w:rsidP="00D8158D">
      <w:pPr>
        <w:tabs>
          <w:tab w:val="clear" w:pos="2880"/>
        </w:tabs>
        <w:textAlignment w:val="baseline"/>
        <w:rPr>
          <w:rFonts w:eastAsia="Times New Roman"/>
          <w:color w:val="auto"/>
          <w:szCs w:val="22"/>
        </w:rPr>
      </w:pPr>
      <w:r>
        <w:rPr>
          <w:rFonts w:eastAsia="Times New Roman"/>
          <w:szCs w:val="22"/>
        </w:rPr>
        <w:t xml:space="preserve">During the meetings that focused on the implementation process, the responsible agencies presented progress of their commitments whereas the Forum members </w:t>
      </w:r>
      <w:r w:rsidRPr="00D8158D">
        <w:rPr>
          <w:rFonts w:eastAsia="Times New Roman"/>
          <w:color w:val="auto"/>
          <w:szCs w:val="22"/>
        </w:rPr>
        <w:t xml:space="preserve">gave </w:t>
      </w:r>
      <w:r w:rsidR="002B049F">
        <w:rPr>
          <w:rFonts w:eastAsia="Times New Roman"/>
          <w:color w:val="auto"/>
          <w:szCs w:val="22"/>
        </w:rPr>
        <w:t xml:space="preserve">input </w:t>
      </w:r>
      <w:r w:rsidRPr="00D8158D">
        <w:rPr>
          <w:rFonts w:eastAsia="Times New Roman"/>
          <w:color w:val="auto"/>
          <w:szCs w:val="22"/>
        </w:rPr>
        <w:t xml:space="preserve">on the implementation of </w:t>
      </w:r>
      <w:r>
        <w:rPr>
          <w:rFonts w:eastAsia="Times New Roman"/>
          <w:color w:val="auto"/>
          <w:szCs w:val="22"/>
        </w:rPr>
        <w:t xml:space="preserve">those commitments. On some occasions, </w:t>
      </w:r>
      <w:r w:rsidR="002B049F">
        <w:rPr>
          <w:rFonts w:eastAsia="Times New Roman"/>
          <w:color w:val="auto"/>
          <w:szCs w:val="22"/>
        </w:rPr>
        <w:t xml:space="preserve">the responsible agencies provided feedback to </w:t>
      </w:r>
      <w:r>
        <w:rPr>
          <w:rFonts w:eastAsia="Times New Roman"/>
          <w:color w:val="auto"/>
          <w:szCs w:val="22"/>
        </w:rPr>
        <w:t xml:space="preserve">the </w:t>
      </w:r>
      <w:r w:rsidR="00320291">
        <w:rPr>
          <w:rFonts w:eastAsia="Times New Roman"/>
          <w:color w:val="auto"/>
          <w:szCs w:val="22"/>
        </w:rPr>
        <w:t>Forum members</w:t>
      </w:r>
      <w:r>
        <w:rPr>
          <w:rFonts w:eastAsia="Times New Roman"/>
          <w:color w:val="auto"/>
          <w:szCs w:val="22"/>
        </w:rPr>
        <w:t>.</w:t>
      </w:r>
      <w:r>
        <w:rPr>
          <w:rStyle w:val="EndnoteReference"/>
          <w:rFonts w:eastAsia="Times New Roman"/>
          <w:color w:val="auto"/>
          <w:szCs w:val="22"/>
        </w:rPr>
        <w:endnoteReference w:id="4"/>
      </w:r>
      <w:r>
        <w:rPr>
          <w:rFonts w:eastAsia="Times New Roman"/>
          <w:color w:val="auto"/>
          <w:szCs w:val="22"/>
        </w:rPr>
        <w:t xml:space="preserve"> Yet, this was not always the case.</w:t>
      </w:r>
      <w:r>
        <w:rPr>
          <w:rStyle w:val="EndnoteReference"/>
          <w:rFonts w:eastAsia="Times New Roman"/>
          <w:color w:val="auto"/>
          <w:szCs w:val="22"/>
        </w:rPr>
        <w:endnoteReference w:id="5"/>
      </w:r>
      <w:r>
        <w:rPr>
          <w:rFonts w:eastAsia="Times New Roman"/>
          <w:color w:val="auto"/>
          <w:szCs w:val="22"/>
        </w:rPr>
        <w:t xml:space="preserve"> </w:t>
      </w:r>
      <w:r w:rsidR="00C1018F">
        <w:rPr>
          <w:rFonts w:eastAsia="Times New Roman"/>
          <w:color w:val="auto"/>
          <w:szCs w:val="22"/>
        </w:rPr>
        <w:t xml:space="preserve">Additionally, civil society was deeply disappointed with the lack of government commitment to </w:t>
      </w:r>
      <w:r>
        <w:rPr>
          <w:rFonts w:eastAsia="Times New Roman"/>
          <w:color w:val="auto"/>
          <w:szCs w:val="22"/>
        </w:rPr>
        <w:t>prompt</w:t>
      </w:r>
      <w:r w:rsidR="00C1018F">
        <w:rPr>
          <w:rFonts w:eastAsia="Times New Roman"/>
          <w:color w:val="auto"/>
          <w:szCs w:val="22"/>
        </w:rPr>
        <w:t>ly</w:t>
      </w:r>
      <w:r>
        <w:rPr>
          <w:rFonts w:eastAsia="Times New Roman"/>
          <w:color w:val="auto"/>
          <w:szCs w:val="22"/>
        </w:rPr>
        <w:t xml:space="preserve"> </w:t>
      </w:r>
      <w:r w:rsidR="00C1018F">
        <w:rPr>
          <w:rFonts w:eastAsia="Times New Roman"/>
          <w:color w:val="auto"/>
          <w:szCs w:val="22"/>
        </w:rPr>
        <w:t xml:space="preserve"> draft and submit a new</w:t>
      </w:r>
      <w:r>
        <w:rPr>
          <w:rFonts w:eastAsia="Times New Roman"/>
          <w:color w:val="auto"/>
          <w:szCs w:val="22"/>
        </w:rPr>
        <w:t xml:space="preserve"> FOI law </w:t>
      </w:r>
      <w:r w:rsidR="00C1018F">
        <w:rPr>
          <w:rFonts w:eastAsia="Times New Roman"/>
          <w:color w:val="auto"/>
          <w:szCs w:val="22"/>
        </w:rPr>
        <w:t>to the Parliament.</w:t>
      </w:r>
      <w:r w:rsidR="00C1018F">
        <w:rPr>
          <w:rStyle w:val="EndnoteReference"/>
          <w:rFonts w:eastAsia="Times New Roman"/>
          <w:color w:val="auto"/>
          <w:szCs w:val="22"/>
        </w:rPr>
        <w:endnoteReference w:id="6"/>
      </w:r>
      <w:r>
        <w:rPr>
          <w:rFonts w:eastAsia="Times New Roman"/>
          <w:color w:val="auto"/>
          <w:szCs w:val="22"/>
        </w:rPr>
        <w:t xml:space="preserve"> It should also be noted that despite the IRM recommendations from the previous progress reports, the government did not create any new mechanisms for public input on implementation, such as the online feedback mechanism for those who cannot physically attend the Forum meetings in Tbilisi, including important regional actors. </w:t>
      </w:r>
    </w:p>
    <w:p w:rsidR="00617421" w:rsidRPr="00E91B86" w:rsidRDefault="00617421" w:rsidP="00E91B86">
      <w:pPr>
        <w:tabs>
          <w:tab w:val="clear" w:pos="2880"/>
        </w:tabs>
        <w:textAlignment w:val="baseline"/>
        <w:rPr>
          <w:rFonts w:eastAsia="Times New Roman"/>
          <w:color w:val="auto"/>
          <w:szCs w:val="22"/>
        </w:rPr>
      </w:pPr>
    </w:p>
    <w:p w:rsidR="00617421" w:rsidRPr="004B1C12" w:rsidRDefault="00617421" w:rsidP="00652814">
      <w:pPr>
        <w:pStyle w:val="Tableheader"/>
        <w:rPr>
          <w:rFonts w:ascii="Gill Sans" w:hAnsi="Gill Sans"/>
        </w:rPr>
      </w:pPr>
      <w:r w:rsidRPr="00E91B86">
        <w:rPr>
          <w:rFonts w:ascii="Gill Sans" w:hAnsi="Gill Sans"/>
        </w:rPr>
        <w:t>Table 2: Consultation during Implementation</w:t>
      </w:r>
    </w:p>
    <w:p w:rsidR="00617421" w:rsidRPr="004B1C12" w:rsidRDefault="00617421" w:rsidP="00652814">
      <w:pPr>
        <w:pStyle w:val="Tableheader"/>
        <w:rPr>
          <w:rFonts w:ascii="Gill Sans" w:hAnsi="Gill Sans"/>
        </w:rPr>
      </w:pPr>
    </w:p>
    <w:tbl>
      <w:tblPr>
        <w:tblStyle w:val="TableGrid1"/>
        <w:tblpPr w:leftFromText="141" w:rightFromText="141" w:vertAnchor="text" w:horzAnchor="page" w:tblpX="1450" w:tblpY="167"/>
        <w:tblW w:w="9373" w:type="dxa"/>
        <w:tblLayout w:type="fixed"/>
        <w:tblLook w:val="04A0" w:firstRow="1" w:lastRow="0" w:firstColumn="1" w:lastColumn="0" w:noHBand="0" w:noVBand="1"/>
      </w:tblPr>
      <w:tblGrid>
        <w:gridCol w:w="5480"/>
        <w:gridCol w:w="1850"/>
        <w:gridCol w:w="2043"/>
      </w:tblGrid>
      <w:tr w:rsidR="00617421" w:rsidRPr="004B1C12" w:rsidTr="008A2618">
        <w:trPr>
          <w:trHeight w:val="949"/>
        </w:trPr>
        <w:tc>
          <w:tcPr>
            <w:tcW w:w="5480" w:type="dxa"/>
            <w:shd w:val="clear" w:color="auto" w:fill="1F497D" w:themeFill="text2"/>
            <w:vAlign w:val="center"/>
          </w:tcPr>
          <w:p w:rsidR="00617421" w:rsidRPr="004B1C12" w:rsidRDefault="00617421" w:rsidP="00935CC8">
            <w:pPr>
              <w:keepNext/>
              <w:keepLines/>
              <w:spacing w:before="200"/>
              <w:outlineLvl w:val="4"/>
              <w:rPr>
                <w:rFonts w:ascii="Calibri" w:hAnsi="Calibri" w:cs="Times New Roman"/>
                <w:b/>
                <w:color w:val="FFFFFF"/>
              </w:rPr>
            </w:pPr>
            <w:r>
              <w:rPr>
                <w:rFonts w:ascii="Calibri" w:hAnsi="Calibri" w:cs="Times New Roman"/>
                <w:b/>
                <w:color w:val="FFFFFF"/>
              </w:rPr>
              <w:t>Regular Multistakeholder F</w:t>
            </w:r>
            <w:r w:rsidRPr="004B1C12">
              <w:rPr>
                <w:rFonts w:ascii="Calibri" w:hAnsi="Calibri" w:cs="Times New Roman"/>
                <w:b/>
                <w:color w:val="FFFFFF"/>
              </w:rPr>
              <w:t>orum</w:t>
            </w:r>
          </w:p>
        </w:tc>
        <w:tc>
          <w:tcPr>
            <w:tcW w:w="1850" w:type="dxa"/>
            <w:shd w:val="clear" w:color="auto" w:fill="1F497D" w:themeFill="text2"/>
            <w:vAlign w:val="center"/>
          </w:tcPr>
          <w:p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Midterm</w:t>
            </w:r>
          </w:p>
        </w:tc>
        <w:tc>
          <w:tcPr>
            <w:tcW w:w="2043" w:type="dxa"/>
            <w:shd w:val="clear" w:color="auto" w:fill="1F497D" w:themeFill="text2"/>
            <w:vAlign w:val="center"/>
          </w:tcPr>
          <w:p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End of Term</w:t>
            </w:r>
          </w:p>
        </w:tc>
      </w:tr>
      <w:tr w:rsidR="00617421" w:rsidRPr="004B1C12" w:rsidTr="008A2618">
        <w:trPr>
          <w:trHeight w:val="411"/>
        </w:trPr>
        <w:tc>
          <w:tcPr>
            <w:tcW w:w="5480" w:type="dxa"/>
            <w:shd w:val="clear" w:color="auto" w:fill="8DB3E2" w:themeFill="text2" w:themeFillTint="66"/>
            <w:vAlign w:val="center"/>
          </w:tcPr>
          <w:p w:rsidR="00617421" w:rsidRPr="004B1C12" w:rsidRDefault="00617421" w:rsidP="00935CC8">
            <w:pPr>
              <w:keepNext/>
              <w:keepLines/>
              <w:spacing w:before="200"/>
              <w:outlineLvl w:val="4"/>
              <w:rPr>
                <w:rFonts w:ascii="Calibri" w:hAnsi="Calibri" w:cs="Times New Roman"/>
                <w:b/>
                <w:color w:val="FFFFFF" w:themeColor="background1"/>
              </w:rPr>
            </w:pPr>
            <w:r w:rsidRPr="004B1C12">
              <w:rPr>
                <w:color w:val="FFFFFF" w:themeColor="background1"/>
              </w:rPr>
              <w:t>1. Did a forum exist?</w:t>
            </w:r>
          </w:p>
        </w:tc>
        <w:tc>
          <w:tcPr>
            <w:tcW w:w="1850" w:type="dxa"/>
            <w:shd w:val="clear" w:color="auto" w:fill="8DB3E2" w:themeFill="text2" w:themeFillTint="66"/>
            <w:vAlign w:val="center"/>
          </w:tcPr>
          <w:p w:rsidR="00617421" w:rsidRPr="004B1C12" w:rsidRDefault="00617421" w:rsidP="00935CC8">
            <w:pPr>
              <w:keepNext/>
              <w:keepLines/>
              <w:spacing w:before="200"/>
              <w:outlineLvl w:val="4"/>
              <w:rPr>
                <w:rFonts w:ascii="Calibri" w:hAnsi="Calibri" w:cs="Times New Roman"/>
                <w:b/>
                <w:color w:val="FFFFFF" w:themeColor="background1"/>
              </w:rPr>
            </w:pPr>
            <w:r>
              <w:rPr>
                <w:rFonts w:ascii="Calibri" w:hAnsi="Calibri" w:cs="Times New Roman"/>
                <w:b/>
                <w:color w:val="FFFFFF" w:themeColor="background1"/>
              </w:rPr>
              <w:t>Yes</w:t>
            </w:r>
          </w:p>
        </w:tc>
        <w:tc>
          <w:tcPr>
            <w:tcW w:w="2043" w:type="dxa"/>
            <w:shd w:val="clear" w:color="auto" w:fill="8DB3E2" w:themeFill="text2" w:themeFillTint="66"/>
            <w:vAlign w:val="center"/>
          </w:tcPr>
          <w:p w:rsidR="00617421" w:rsidRPr="004B1C12" w:rsidRDefault="00617421" w:rsidP="00935CC8">
            <w:pPr>
              <w:keepNext/>
              <w:keepLines/>
              <w:spacing w:before="200"/>
              <w:outlineLvl w:val="4"/>
              <w:rPr>
                <w:rFonts w:ascii="Calibri" w:hAnsi="Calibri" w:cs="Times New Roman"/>
                <w:b/>
                <w:color w:val="FFFFFF" w:themeColor="background1"/>
              </w:rPr>
            </w:pPr>
            <w:r w:rsidRPr="004B1C12">
              <w:rPr>
                <w:rFonts w:ascii="Calibri" w:hAnsi="Calibri" w:cs="Times New Roman"/>
                <w:b/>
                <w:color w:val="FFFFFF" w:themeColor="background1"/>
              </w:rPr>
              <w:t>Yes</w:t>
            </w:r>
          </w:p>
        </w:tc>
      </w:tr>
      <w:tr w:rsidR="00617421" w:rsidRPr="004B1C12" w:rsidTr="008A2618">
        <w:trPr>
          <w:trHeight w:val="411"/>
        </w:trPr>
        <w:tc>
          <w:tcPr>
            <w:tcW w:w="5480" w:type="dxa"/>
            <w:shd w:val="clear" w:color="auto" w:fill="8DB3E2" w:themeFill="text2" w:themeFillTint="66"/>
            <w:vAlign w:val="center"/>
          </w:tcPr>
          <w:p w:rsidR="00617421" w:rsidRPr="004B1C12" w:rsidRDefault="00617421" w:rsidP="00935CC8">
            <w:pPr>
              <w:keepNext/>
              <w:keepLines/>
              <w:spacing w:before="200"/>
              <w:outlineLvl w:val="4"/>
              <w:rPr>
                <w:rFonts w:ascii="Calibri" w:hAnsi="Calibri" w:cs="Times New Roman"/>
                <w:b/>
                <w:color w:val="FFFFFF" w:themeColor="background1"/>
              </w:rPr>
            </w:pPr>
            <w:r w:rsidRPr="004B1C12">
              <w:rPr>
                <w:color w:val="FFFFFF" w:themeColor="background1"/>
              </w:rPr>
              <w:t xml:space="preserve">2. Did it meet regularly?           </w:t>
            </w:r>
          </w:p>
        </w:tc>
        <w:tc>
          <w:tcPr>
            <w:tcW w:w="1850" w:type="dxa"/>
            <w:shd w:val="clear" w:color="auto" w:fill="8DB3E2" w:themeFill="text2" w:themeFillTint="66"/>
            <w:vAlign w:val="center"/>
          </w:tcPr>
          <w:p w:rsidR="00617421" w:rsidRPr="004B1C12" w:rsidRDefault="00617421" w:rsidP="00935CC8">
            <w:pPr>
              <w:keepNext/>
              <w:keepLines/>
              <w:spacing w:before="200"/>
              <w:outlineLvl w:val="4"/>
              <w:rPr>
                <w:rFonts w:ascii="Calibri" w:hAnsi="Calibri" w:cs="Times New Roman"/>
                <w:b/>
                <w:color w:val="FFFFFF" w:themeColor="background1"/>
              </w:rPr>
            </w:pPr>
            <w:r w:rsidRPr="004B1C12">
              <w:rPr>
                <w:rFonts w:ascii="Calibri" w:hAnsi="Calibri" w:cs="Times New Roman"/>
                <w:b/>
                <w:color w:val="FFFFFF" w:themeColor="background1"/>
              </w:rPr>
              <w:t>Yes</w:t>
            </w:r>
          </w:p>
        </w:tc>
        <w:tc>
          <w:tcPr>
            <w:tcW w:w="2043" w:type="dxa"/>
            <w:shd w:val="clear" w:color="auto" w:fill="8DB3E2" w:themeFill="text2" w:themeFillTint="66"/>
            <w:vAlign w:val="center"/>
          </w:tcPr>
          <w:p w:rsidR="00617421" w:rsidRPr="004B1C12" w:rsidRDefault="00617421" w:rsidP="00935CC8">
            <w:pPr>
              <w:keepNext/>
              <w:keepLines/>
              <w:spacing w:before="200"/>
              <w:outlineLvl w:val="4"/>
              <w:rPr>
                <w:rFonts w:ascii="Calibri" w:hAnsi="Calibri" w:cs="Times New Roman"/>
                <w:b/>
                <w:color w:val="FFFFFF" w:themeColor="background1"/>
              </w:rPr>
            </w:pPr>
            <w:r w:rsidRPr="004B1C12">
              <w:rPr>
                <w:rFonts w:ascii="Calibri" w:hAnsi="Calibri" w:cs="Times New Roman"/>
                <w:b/>
                <w:color w:val="FFFFFF" w:themeColor="background1"/>
              </w:rPr>
              <w:t>Yes</w:t>
            </w:r>
          </w:p>
        </w:tc>
      </w:tr>
    </w:tbl>
    <w:p w:rsidR="00617421" w:rsidRPr="004B1C12" w:rsidRDefault="00617421"/>
    <w:p w:rsidR="00617421" w:rsidRPr="004B1C12" w:rsidRDefault="00617421">
      <w:r w:rsidRPr="004B1C12">
        <w:t xml:space="preserve"> </w:t>
      </w:r>
    </w:p>
    <w:p w:rsidR="00617421" w:rsidRPr="004B1C12" w:rsidRDefault="00617421">
      <w:pPr>
        <w:rPr>
          <w:color w:val="1F497D" w:themeColor="text2"/>
        </w:rPr>
      </w:pPr>
    </w:p>
    <w:p w:rsidR="00617421" w:rsidRDefault="00617421">
      <w:pPr>
        <w:rPr>
          <w:color w:val="1F497D" w:themeColor="text2"/>
        </w:rPr>
      </w:pPr>
      <w:r w:rsidRPr="00E91B86">
        <w:rPr>
          <w:color w:val="1F497D" w:themeColor="text2"/>
        </w:rPr>
        <w:t>Table 3: Level of Public Influence during Implementation</w:t>
      </w:r>
    </w:p>
    <w:p w:rsidR="00617421" w:rsidRDefault="00617421" w:rsidP="002C1B91">
      <w:pPr>
        <w:pStyle w:val="Normalrglronly"/>
      </w:pPr>
      <w:r>
        <w:t>The IRM has ada</w:t>
      </w:r>
      <w:r w:rsidRPr="00A7530A">
        <w:t>pted the International Association for Public</w:t>
      </w:r>
      <w:r>
        <w:t xml:space="preserve"> Participation (IAP2) “Spectrum of P</w:t>
      </w:r>
      <w:r w:rsidRPr="00A7530A">
        <w:t>articipation</w:t>
      </w:r>
      <w:r>
        <w:t>” to apply to</w:t>
      </w:r>
      <w:r w:rsidRPr="00A7530A">
        <w:t xml:space="preserve"> OGP</w:t>
      </w:r>
      <w:r>
        <w:t>.</w:t>
      </w:r>
      <w:r>
        <w:rPr>
          <w:rStyle w:val="EndnoteReference"/>
        </w:rPr>
        <w:endnoteReference w:id="7"/>
      </w:r>
      <w:r>
        <w:t xml:space="preserve"> </w:t>
      </w:r>
      <w:r w:rsidRPr="00A7530A">
        <w:t>Th</w:t>
      </w:r>
      <w:r>
        <w:t>is spectrum</w:t>
      </w:r>
      <w:r w:rsidRPr="00A7530A">
        <w:t xml:space="preserve"> shows the </w:t>
      </w:r>
      <w:r>
        <w:t xml:space="preserve">potential </w:t>
      </w:r>
      <w:r w:rsidRPr="00A7530A">
        <w:t>level of public influence on the</w:t>
      </w:r>
      <w:r>
        <w:t xml:space="preserve"> contents of the</w:t>
      </w:r>
      <w:r w:rsidRPr="00A7530A">
        <w:t xml:space="preserve"> action plan.</w:t>
      </w:r>
      <w:r>
        <w:t xml:space="preserve"> </w:t>
      </w:r>
      <w:r w:rsidRPr="00A7530A">
        <w:t xml:space="preserve">In the spirit of OGP, most countries should aspire for “collaborative.” </w:t>
      </w:r>
    </w:p>
    <w:p w:rsidR="00617421" w:rsidRPr="00256918" w:rsidRDefault="00617421" w:rsidP="002C1B91">
      <w:pPr>
        <w:pStyle w:val="Normalrglronly"/>
      </w:pPr>
    </w:p>
    <w:p w:rsidR="00617421" w:rsidRPr="004B1C12" w:rsidRDefault="00617421">
      <w:pPr>
        <w:rPr>
          <w:color w:val="1F497D" w:themeColor="text2"/>
        </w:rPr>
      </w:pPr>
    </w:p>
    <w:tbl>
      <w:tblPr>
        <w:tblStyle w:val="TableGrid1"/>
        <w:tblpPr w:leftFromText="141" w:rightFromText="141" w:vertAnchor="text" w:horzAnchor="page" w:tblpX="1450" w:tblpY="167"/>
        <w:tblW w:w="9576" w:type="dxa"/>
        <w:tblLayout w:type="fixed"/>
        <w:tblLook w:val="04A0" w:firstRow="1" w:lastRow="0" w:firstColumn="1" w:lastColumn="0" w:noHBand="0" w:noVBand="1"/>
      </w:tblPr>
      <w:tblGrid>
        <w:gridCol w:w="1814"/>
        <w:gridCol w:w="3784"/>
        <w:gridCol w:w="1890"/>
        <w:gridCol w:w="2088"/>
      </w:tblGrid>
      <w:tr w:rsidR="00617421" w:rsidRPr="004B1C12" w:rsidTr="00935CC8">
        <w:trPr>
          <w:trHeight w:val="836"/>
        </w:trPr>
        <w:tc>
          <w:tcPr>
            <w:tcW w:w="5598" w:type="dxa"/>
            <w:gridSpan w:val="2"/>
            <w:shd w:val="clear" w:color="auto" w:fill="28521A"/>
            <w:vAlign w:val="center"/>
          </w:tcPr>
          <w:p w:rsidR="00617421" w:rsidRPr="004B1C12" w:rsidRDefault="00617421" w:rsidP="002F24AE">
            <w:pPr>
              <w:keepNext/>
              <w:keepLines/>
              <w:spacing w:before="200"/>
              <w:outlineLvl w:val="4"/>
              <w:rPr>
                <w:rFonts w:ascii="Calibri" w:hAnsi="Calibri" w:cs="Times New Roman"/>
                <w:b/>
                <w:color w:val="FFFFFF"/>
              </w:rPr>
            </w:pPr>
            <w:r>
              <w:rPr>
                <w:rFonts w:ascii="Calibri" w:hAnsi="Calibri" w:cs="Times New Roman"/>
                <w:b/>
                <w:color w:val="FFFFFF"/>
              </w:rPr>
              <w:t>Level of Public I</w:t>
            </w:r>
            <w:r w:rsidRPr="004B1C12">
              <w:rPr>
                <w:rFonts w:ascii="Calibri" w:hAnsi="Calibri" w:cs="Times New Roman"/>
                <w:b/>
                <w:color w:val="FFFFFF"/>
              </w:rPr>
              <w:t>nfluence during</w:t>
            </w:r>
            <w:r>
              <w:rPr>
                <w:rFonts w:ascii="Calibri" w:hAnsi="Calibri" w:cs="Times New Roman"/>
                <w:b/>
                <w:color w:val="FFFFFF"/>
              </w:rPr>
              <w:t xml:space="preserve"> Implementation of Action P</w:t>
            </w:r>
            <w:r w:rsidRPr="004B1C12">
              <w:rPr>
                <w:rFonts w:ascii="Calibri" w:hAnsi="Calibri" w:cs="Times New Roman"/>
                <w:b/>
                <w:color w:val="FFFFFF"/>
              </w:rPr>
              <w:t>lan</w:t>
            </w:r>
          </w:p>
        </w:tc>
        <w:tc>
          <w:tcPr>
            <w:tcW w:w="1890" w:type="dxa"/>
            <w:shd w:val="clear" w:color="auto" w:fill="28521A"/>
            <w:vAlign w:val="center"/>
          </w:tcPr>
          <w:p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Midterm</w:t>
            </w:r>
          </w:p>
        </w:tc>
        <w:tc>
          <w:tcPr>
            <w:tcW w:w="2088" w:type="dxa"/>
            <w:shd w:val="clear" w:color="auto" w:fill="28521A"/>
            <w:vAlign w:val="center"/>
          </w:tcPr>
          <w:p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End of Term</w:t>
            </w:r>
          </w:p>
        </w:tc>
      </w:tr>
      <w:tr w:rsidR="00617421" w:rsidRPr="004B1C12" w:rsidTr="00935CC8">
        <w:tc>
          <w:tcPr>
            <w:tcW w:w="1814" w:type="dxa"/>
            <w:shd w:val="clear" w:color="auto" w:fill="28521A"/>
            <w:vAlign w:val="center"/>
          </w:tcPr>
          <w:p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lastRenderedPageBreak/>
              <w:t>Empower</w:t>
            </w:r>
          </w:p>
        </w:tc>
        <w:tc>
          <w:tcPr>
            <w:tcW w:w="3784" w:type="dxa"/>
            <w:shd w:val="clear" w:color="auto" w:fill="28521A"/>
            <w:vAlign w:val="center"/>
          </w:tcPr>
          <w:p w:rsidR="00617421" w:rsidRPr="004B1C12" w:rsidRDefault="00617421" w:rsidP="00935CC8">
            <w:pPr>
              <w:rPr>
                <w:color w:val="FFFFFF"/>
              </w:rPr>
            </w:pPr>
            <w:r w:rsidRPr="004B1C12">
              <w:rPr>
                <w:color w:val="FFFFFF"/>
              </w:rPr>
              <w:t>The government handed decision-making power to members of the public.</w:t>
            </w:r>
          </w:p>
        </w:tc>
        <w:tc>
          <w:tcPr>
            <w:tcW w:w="1890" w:type="dxa"/>
            <w:shd w:val="clear" w:color="auto" w:fill="28521A"/>
            <w:vAlign w:val="center"/>
          </w:tcPr>
          <w:p w:rsidR="00617421" w:rsidRPr="004B1C12" w:rsidRDefault="00617421" w:rsidP="00935CC8">
            <w:pPr>
              <w:spacing w:after="120"/>
              <w:jc w:val="center"/>
              <w:rPr>
                <w:rFonts w:ascii="Zapf Dingbats" w:hAnsi="Zapf Dingbats"/>
                <w:color w:val="FFFFFF"/>
                <w:szCs w:val="22"/>
              </w:rPr>
            </w:pPr>
          </w:p>
        </w:tc>
        <w:tc>
          <w:tcPr>
            <w:tcW w:w="2088" w:type="dxa"/>
            <w:shd w:val="clear" w:color="auto" w:fill="28521A"/>
            <w:vAlign w:val="center"/>
          </w:tcPr>
          <w:p w:rsidR="00617421" w:rsidRPr="004B1C12" w:rsidRDefault="00617421" w:rsidP="00935CC8">
            <w:pPr>
              <w:spacing w:after="120"/>
              <w:jc w:val="center"/>
              <w:rPr>
                <w:color w:val="FFFFFF"/>
                <w:szCs w:val="22"/>
              </w:rPr>
            </w:pPr>
          </w:p>
        </w:tc>
      </w:tr>
      <w:tr w:rsidR="00617421" w:rsidRPr="004B1C12" w:rsidTr="00935CC8">
        <w:tc>
          <w:tcPr>
            <w:tcW w:w="1814" w:type="dxa"/>
            <w:shd w:val="clear" w:color="auto" w:fill="3C7B27"/>
            <w:vAlign w:val="center"/>
          </w:tcPr>
          <w:p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Collaborate</w:t>
            </w:r>
          </w:p>
        </w:tc>
        <w:tc>
          <w:tcPr>
            <w:tcW w:w="3784" w:type="dxa"/>
            <w:shd w:val="clear" w:color="auto" w:fill="3C7B27"/>
            <w:vAlign w:val="center"/>
          </w:tcPr>
          <w:p w:rsidR="00617421" w:rsidRPr="004B1C12" w:rsidRDefault="00617421" w:rsidP="00935CC8">
            <w:pPr>
              <w:rPr>
                <w:color w:val="FFFFFF"/>
              </w:rPr>
            </w:pPr>
            <w:r w:rsidRPr="004B1C12">
              <w:rPr>
                <w:color w:val="FFFFFF"/>
              </w:rPr>
              <w:t>There was iterative dialogue AND the public helped set the agenda.</w:t>
            </w:r>
          </w:p>
        </w:tc>
        <w:tc>
          <w:tcPr>
            <w:tcW w:w="1890" w:type="dxa"/>
            <w:shd w:val="clear" w:color="auto" w:fill="3C7B27"/>
            <w:vAlign w:val="center"/>
          </w:tcPr>
          <w:p w:rsidR="00617421" w:rsidRPr="004B1C12" w:rsidRDefault="00617421" w:rsidP="00935CC8">
            <w:pPr>
              <w:spacing w:after="120"/>
              <w:jc w:val="center"/>
              <w:rPr>
                <w:color w:val="FFFFFF"/>
                <w:szCs w:val="22"/>
              </w:rPr>
            </w:pPr>
          </w:p>
        </w:tc>
        <w:tc>
          <w:tcPr>
            <w:tcW w:w="2088" w:type="dxa"/>
            <w:shd w:val="clear" w:color="auto" w:fill="3C7B27"/>
            <w:vAlign w:val="center"/>
          </w:tcPr>
          <w:p w:rsidR="00617421" w:rsidRPr="004B1C12" w:rsidRDefault="00617421" w:rsidP="00935CC8">
            <w:pPr>
              <w:spacing w:after="120"/>
              <w:jc w:val="center"/>
              <w:rPr>
                <w:color w:val="FFFFFF"/>
                <w:szCs w:val="22"/>
              </w:rPr>
            </w:pPr>
          </w:p>
        </w:tc>
      </w:tr>
      <w:tr w:rsidR="00617421" w:rsidRPr="004B1C12" w:rsidTr="00935CC8">
        <w:tc>
          <w:tcPr>
            <w:tcW w:w="1814" w:type="dxa"/>
            <w:shd w:val="clear" w:color="auto" w:fill="51A534"/>
            <w:vAlign w:val="center"/>
          </w:tcPr>
          <w:p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Involve</w:t>
            </w:r>
          </w:p>
        </w:tc>
        <w:tc>
          <w:tcPr>
            <w:tcW w:w="3784" w:type="dxa"/>
            <w:shd w:val="clear" w:color="auto" w:fill="51A534"/>
            <w:vAlign w:val="center"/>
          </w:tcPr>
          <w:p w:rsidR="00617421" w:rsidRPr="004B1C12" w:rsidRDefault="00617421" w:rsidP="005762E5">
            <w:pPr>
              <w:rPr>
                <w:color w:val="FFFFFF"/>
              </w:rPr>
            </w:pPr>
            <w:r w:rsidRPr="004B1C12">
              <w:rPr>
                <w:color w:val="FFFFFF"/>
              </w:rPr>
              <w:t xml:space="preserve">The </w:t>
            </w:r>
            <w:r>
              <w:rPr>
                <w:color w:val="FFFFFF"/>
              </w:rPr>
              <w:t>government</w:t>
            </w:r>
            <w:r w:rsidRPr="004B1C12">
              <w:rPr>
                <w:color w:val="FFFFFF"/>
              </w:rPr>
              <w:t xml:space="preserve"> </w:t>
            </w:r>
            <w:r>
              <w:rPr>
                <w:color w:val="FFFFFF"/>
              </w:rPr>
              <w:t>gave</w:t>
            </w:r>
            <w:r w:rsidRPr="004B1C12">
              <w:rPr>
                <w:color w:val="FFFFFF"/>
              </w:rPr>
              <w:t xml:space="preserve"> feedback on how </w:t>
            </w:r>
            <w:r>
              <w:rPr>
                <w:color w:val="FFFFFF"/>
              </w:rPr>
              <w:t>public inputs were considered</w:t>
            </w:r>
            <w:r w:rsidRPr="004B1C12">
              <w:rPr>
                <w:color w:val="FFFFFF"/>
              </w:rPr>
              <w:t>.</w:t>
            </w:r>
          </w:p>
        </w:tc>
        <w:tc>
          <w:tcPr>
            <w:tcW w:w="1890" w:type="dxa"/>
            <w:shd w:val="clear" w:color="auto" w:fill="51A534"/>
            <w:vAlign w:val="center"/>
          </w:tcPr>
          <w:p w:rsidR="00617421" w:rsidRPr="004B1C12" w:rsidRDefault="00617421" w:rsidP="00935CC8">
            <w:pPr>
              <w:spacing w:after="120"/>
              <w:jc w:val="center"/>
              <w:rPr>
                <w:szCs w:val="22"/>
              </w:rPr>
            </w:pPr>
          </w:p>
        </w:tc>
        <w:tc>
          <w:tcPr>
            <w:tcW w:w="2088" w:type="dxa"/>
            <w:shd w:val="clear" w:color="auto" w:fill="51A534"/>
            <w:vAlign w:val="center"/>
          </w:tcPr>
          <w:p w:rsidR="00617421" w:rsidRPr="004B1C12" w:rsidRDefault="00617421" w:rsidP="00935CC8">
            <w:pPr>
              <w:spacing w:after="120"/>
              <w:jc w:val="center"/>
              <w:rPr>
                <w:szCs w:val="22"/>
              </w:rPr>
            </w:pPr>
          </w:p>
        </w:tc>
      </w:tr>
      <w:tr w:rsidR="00617421" w:rsidRPr="004B1C12" w:rsidTr="00935CC8">
        <w:tc>
          <w:tcPr>
            <w:tcW w:w="1814" w:type="dxa"/>
            <w:shd w:val="clear" w:color="auto" w:fill="90D479"/>
            <w:vAlign w:val="center"/>
          </w:tcPr>
          <w:p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Consult</w:t>
            </w:r>
          </w:p>
        </w:tc>
        <w:tc>
          <w:tcPr>
            <w:tcW w:w="3784" w:type="dxa"/>
            <w:shd w:val="clear" w:color="auto" w:fill="90D479"/>
            <w:vAlign w:val="center"/>
          </w:tcPr>
          <w:p w:rsidR="00617421" w:rsidRPr="004B1C12" w:rsidRDefault="00617421" w:rsidP="00935CC8">
            <w:pPr>
              <w:rPr>
                <w:color w:val="FFFFFF"/>
              </w:rPr>
            </w:pPr>
            <w:r w:rsidRPr="004B1C12">
              <w:rPr>
                <w:color w:val="FFFFFF"/>
              </w:rPr>
              <w:t>The public could give inputs.</w:t>
            </w:r>
          </w:p>
        </w:tc>
        <w:tc>
          <w:tcPr>
            <w:tcW w:w="1890" w:type="dxa"/>
            <w:shd w:val="clear" w:color="auto" w:fill="90D479"/>
            <w:vAlign w:val="center"/>
          </w:tcPr>
          <w:p w:rsidR="00617421" w:rsidRPr="004B1C12" w:rsidRDefault="004A069D" w:rsidP="00935CC8">
            <w:pPr>
              <w:spacing w:after="120"/>
              <w:jc w:val="center"/>
              <w:rPr>
                <w:szCs w:val="22"/>
              </w:rPr>
            </w:pPr>
            <w:r w:rsidRPr="0010229D">
              <w:rPr>
                <w:rFonts w:ascii="MS Mincho" w:eastAsia="MS Mincho" w:hAnsi="MS Mincho" w:cs="MS Mincho"/>
                <w:sz w:val="20"/>
              </w:rPr>
              <w:t>✔</w:t>
            </w:r>
          </w:p>
        </w:tc>
        <w:tc>
          <w:tcPr>
            <w:tcW w:w="2088" w:type="dxa"/>
            <w:shd w:val="clear" w:color="auto" w:fill="90D479"/>
            <w:vAlign w:val="center"/>
          </w:tcPr>
          <w:p w:rsidR="00617421" w:rsidRPr="004B1C12" w:rsidRDefault="004A069D" w:rsidP="00935CC8">
            <w:pPr>
              <w:spacing w:after="120"/>
              <w:jc w:val="center"/>
              <w:rPr>
                <w:szCs w:val="22"/>
              </w:rPr>
            </w:pPr>
            <w:r w:rsidRPr="0010229D">
              <w:rPr>
                <w:rFonts w:ascii="MS Mincho" w:eastAsia="MS Mincho" w:hAnsi="MS Mincho" w:cs="MS Mincho"/>
                <w:sz w:val="20"/>
              </w:rPr>
              <w:t>✔</w:t>
            </w:r>
          </w:p>
        </w:tc>
      </w:tr>
      <w:tr w:rsidR="00617421" w:rsidRPr="004B1C12" w:rsidTr="00935CC8">
        <w:tc>
          <w:tcPr>
            <w:tcW w:w="1814" w:type="dxa"/>
            <w:shd w:val="clear" w:color="auto" w:fill="B5E3A5"/>
            <w:vAlign w:val="center"/>
          </w:tcPr>
          <w:p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Inform</w:t>
            </w:r>
          </w:p>
        </w:tc>
        <w:tc>
          <w:tcPr>
            <w:tcW w:w="3784" w:type="dxa"/>
            <w:shd w:val="clear" w:color="auto" w:fill="B5E3A5"/>
            <w:vAlign w:val="center"/>
          </w:tcPr>
          <w:p w:rsidR="00617421" w:rsidRPr="004B1C12" w:rsidRDefault="00617421" w:rsidP="00935CC8">
            <w:pPr>
              <w:rPr>
                <w:color w:val="FFFFFF"/>
              </w:rPr>
            </w:pPr>
            <w:r w:rsidRPr="004B1C12">
              <w:rPr>
                <w:color w:val="FFFFFF"/>
              </w:rPr>
              <w:t>The government provided the public with information on the action plan.</w:t>
            </w:r>
          </w:p>
        </w:tc>
        <w:tc>
          <w:tcPr>
            <w:tcW w:w="1890" w:type="dxa"/>
            <w:shd w:val="clear" w:color="auto" w:fill="B5E3A5"/>
            <w:vAlign w:val="center"/>
          </w:tcPr>
          <w:p w:rsidR="00617421" w:rsidRPr="004B1C12" w:rsidRDefault="00617421" w:rsidP="00935CC8">
            <w:pPr>
              <w:spacing w:after="120"/>
              <w:jc w:val="center"/>
              <w:rPr>
                <w:szCs w:val="22"/>
              </w:rPr>
            </w:pPr>
          </w:p>
        </w:tc>
        <w:tc>
          <w:tcPr>
            <w:tcW w:w="2088" w:type="dxa"/>
            <w:shd w:val="clear" w:color="auto" w:fill="B5E3A5"/>
            <w:vAlign w:val="center"/>
          </w:tcPr>
          <w:p w:rsidR="00617421" w:rsidRPr="004B1C12" w:rsidRDefault="00617421" w:rsidP="00935CC8">
            <w:pPr>
              <w:spacing w:after="120"/>
              <w:jc w:val="center"/>
              <w:rPr>
                <w:szCs w:val="22"/>
              </w:rPr>
            </w:pPr>
          </w:p>
        </w:tc>
      </w:tr>
      <w:tr w:rsidR="00617421" w:rsidRPr="004B1C12" w:rsidTr="00935CC8">
        <w:tc>
          <w:tcPr>
            <w:tcW w:w="1814" w:type="dxa"/>
            <w:shd w:val="clear" w:color="auto" w:fill="DAF1D2"/>
            <w:vAlign w:val="center"/>
          </w:tcPr>
          <w:p w:rsidR="00617421" w:rsidRPr="004B1C12" w:rsidRDefault="00617421" w:rsidP="00935CC8">
            <w:pPr>
              <w:keepNext/>
              <w:keepLines/>
              <w:spacing w:before="200"/>
              <w:outlineLvl w:val="4"/>
              <w:rPr>
                <w:rFonts w:ascii="Calibri" w:hAnsi="Calibri" w:cs="Times New Roman"/>
                <w:b/>
                <w:color w:val="4A5648"/>
              </w:rPr>
            </w:pPr>
            <w:r w:rsidRPr="004B1C12">
              <w:rPr>
                <w:rFonts w:ascii="Calibri" w:hAnsi="Calibri" w:cs="Times New Roman"/>
                <w:b/>
                <w:color w:val="4A5648"/>
              </w:rPr>
              <w:t>No Consultation</w:t>
            </w:r>
          </w:p>
        </w:tc>
        <w:tc>
          <w:tcPr>
            <w:tcW w:w="3784" w:type="dxa"/>
            <w:shd w:val="clear" w:color="auto" w:fill="DAF1D2"/>
            <w:vAlign w:val="center"/>
          </w:tcPr>
          <w:p w:rsidR="00617421" w:rsidRPr="004B1C12" w:rsidRDefault="00617421" w:rsidP="00935CC8">
            <w:pPr>
              <w:rPr>
                <w:color w:val="4A5648"/>
              </w:rPr>
            </w:pPr>
            <w:r w:rsidRPr="004B1C12">
              <w:rPr>
                <w:color w:val="4A5648"/>
              </w:rPr>
              <w:t>No consultation</w:t>
            </w:r>
          </w:p>
        </w:tc>
        <w:tc>
          <w:tcPr>
            <w:tcW w:w="1890" w:type="dxa"/>
            <w:shd w:val="clear" w:color="auto" w:fill="DAF1D2"/>
            <w:vAlign w:val="center"/>
          </w:tcPr>
          <w:p w:rsidR="00617421" w:rsidRPr="004B1C12" w:rsidRDefault="00617421" w:rsidP="00935CC8">
            <w:pPr>
              <w:spacing w:after="120"/>
              <w:jc w:val="center"/>
              <w:rPr>
                <w:szCs w:val="22"/>
              </w:rPr>
            </w:pPr>
          </w:p>
        </w:tc>
        <w:tc>
          <w:tcPr>
            <w:tcW w:w="2088" w:type="dxa"/>
            <w:shd w:val="clear" w:color="auto" w:fill="DAF1D2"/>
            <w:vAlign w:val="center"/>
          </w:tcPr>
          <w:p w:rsidR="00617421" w:rsidRPr="004B1C12" w:rsidRDefault="00617421" w:rsidP="00935CC8">
            <w:pPr>
              <w:spacing w:after="120"/>
              <w:jc w:val="center"/>
              <w:rPr>
                <w:szCs w:val="22"/>
              </w:rPr>
            </w:pPr>
          </w:p>
        </w:tc>
      </w:tr>
    </w:tbl>
    <w:p w:rsidR="00617421" w:rsidRPr="004B1C12" w:rsidRDefault="00617421" w:rsidP="00B0395A">
      <w:pPr>
        <w:pStyle w:val="Normalrglronly"/>
        <w:rPr>
          <w:i/>
          <w:color w:val="1F497D" w:themeColor="text2"/>
        </w:rPr>
      </w:pPr>
    </w:p>
    <w:p w:rsidR="00617421" w:rsidRPr="004B1C12" w:rsidRDefault="00617421" w:rsidP="000278C1">
      <w:pPr>
        <w:pStyle w:val="Heading1"/>
      </w:pPr>
      <w:bookmarkStart w:id="1" w:name="_Toc409220371"/>
      <w:r w:rsidRPr="004B1C12">
        <w:t>About the Assessment</w:t>
      </w:r>
      <w:bookmarkEnd w:id="1"/>
    </w:p>
    <w:p w:rsidR="00617421" w:rsidRPr="004B1C12" w:rsidRDefault="00617421" w:rsidP="004839BB">
      <w:r w:rsidRPr="004B1C12">
        <w:t>The indicators and method used in the IRM research can be found in the IRM Procedures Manual.</w:t>
      </w:r>
      <w:r w:rsidRPr="004B1C12">
        <w:rPr>
          <w:rStyle w:val="EndnoteReference"/>
        </w:rPr>
        <w:endnoteReference w:id="8"/>
      </w:r>
      <w:r w:rsidRPr="004B1C12">
        <w:t xml:space="preserve"> One measure, the “starred commitment” (</w:t>
      </w:r>
      <w:r w:rsidRPr="004B1C12">
        <w:rPr>
          <w:rFonts w:ascii="MS Mincho" w:eastAsia="MS Mincho" w:hAnsi="MS Mincho" w:cs="MS Mincho"/>
        </w:rPr>
        <w:t>✪</w:t>
      </w:r>
      <w:r w:rsidRPr="004B1C12">
        <w:t>), deserves further explanation due to its particular interest to readers and usefulness for encouraging a race to the top among OGP-participating countries. Starred commitments are considered exemplary OGP commitments. To receive a star, a commitment must meet several criteria:</w:t>
      </w:r>
    </w:p>
    <w:p w:rsidR="00617421" w:rsidRPr="004B1C12" w:rsidRDefault="00617421" w:rsidP="006D04DF">
      <w:pPr>
        <w:numPr>
          <w:ilvl w:val="0"/>
          <w:numId w:val="3"/>
        </w:numPr>
        <w:rPr>
          <w:color w:val="auto"/>
          <w:szCs w:val="22"/>
        </w:rPr>
      </w:pPr>
      <w:r w:rsidRPr="004B1C12">
        <w:rPr>
          <w:color w:val="auto"/>
          <w:szCs w:val="22"/>
        </w:rPr>
        <w:t xml:space="preserve">Starred commitments will have “medium” or “high” specificity. </w:t>
      </w:r>
      <w:r w:rsidRPr="004B1C12">
        <w:t>A commitment must lay out clearly defined activities and steps to make a judgment about its potential impact.</w:t>
      </w:r>
    </w:p>
    <w:p w:rsidR="00617421" w:rsidRPr="004B1C12" w:rsidRDefault="00617421" w:rsidP="006D04DF">
      <w:pPr>
        <w:numPr>
          <w:ilvl w:val="0"/>
          <w:numId w:val="3"/>
        </w:numPr>
        <w:rPr>
          <w:color w:val="auto"/>
          <w:szCs w:val="22"/>
        </w:rPr>
      </w:pPr>
      <w:r w:rsidRPr="004B1C12">
        <w:rPr>
          <w:color w:val="auto"/>
          <w:szCs w:val="22"/>
        </w:rPr>
        <w:t xml:space="preserve">The commitment’s language should make clear its relevance to opening government. Specifically, it must relate to at least one of the OGP values of Access to Information, Civic Participation, or Public Accountability. </w:t>
      </w:r>
    </w:p>
    <w:p w:rsidR="00617421" w:rsidRPr="004B1C12" w:rsidRDefault="00617421" w:rsidP="006D04DF">
      <w:pPr>
        <w:numPr>
          <w:ilvl w:val="0"/>
          <w:numId w:val="3"/>
        </w:numPr>
        <w:rPr>
          <w:color w:val="auto"/>
          <w:szCs w:val="22"/>
        </w:rPr>
      </w:pPr>
      <w:r w:rsidRPr="004B1C12">
        <w:rPr>
          <w:color w:val="auto"/>
          <w:szCs w:val="22"/>
        </w:rPr>
        <w:t>The commitment would have a "transformative" potential impact if completely implemented.</w:t>
      </w:r>
      <w:r w:rsidRPr="004B1C12">
        <w:rPr>
          <w:rStyle w:val="EndnoteReference"/>
          <w:color w:val="auto"/>
          <w:szCs w:val="22"/>
        </w:rPr>
        <w:endnoteReference w:id="9"/>
      </w:r>
    </w:p>
    <w:p w:rsidR="00617421" w:rsidRPr="004B1C12" w:rsidRDefault="00617421" w:rsidP="006D04DF">
      <w:pPr>
        <w:numPr>
          <w:ilvl w:val="0"/>
          <w:numId w:val="3"/>
        </w:numPr>
        <w:rPr>
          <w:color w:val="auto"/>
          <w:szCs w:val="22"/>
        </w:rPr>
      </w:pPr>
      <w:r w:rsidRPr="004B1C12">
        <w:t>The government must make significant progress on this commitment during the action plan implementation period, receiving an assessment of "substantial" or "complete" implementation.</w:t>
      </w:r>
    </w:p>
    <w:p w:rsidR="00617421" w:rsidRPr="004B1C12" w:rsidRDefault="00617421" w:rsidP="006B4F6D">
      <w:pPr>
        <w:ind w:left="720"/>
        <w:rPr>
          <w:color w:val="auto"/>
          <w:szCs w:val="22"/>
        </w:rPr>
      </w:pPr>
    </w:p>
    <w:p w:rsidR="00617421" w:rsidRPr="004B1C12" w:rsidRDefault="00617421" w:rsidP="004839BB">
      <w:r w:rsidRPr="004B1C12">
        <w:t>Starred commitments can lose their starred status if their completion falls short of substantial or full completion</w:t>
      </w:r>
      <w:r w:rsidRPr="004B1C12" w:rsidDel="00FB5064">
        <w:t xml:space="preserve"> </w:t>
      </w:r>
      <w:r w:rsidRPr="004B1C12">
        <w:t xml:space="preserve">at the end of the action plan implementation period.  </w:t>
      </w:r>
    </w:p>
    <w:p w:rsidR="00617421" w:rsidRPr="004B1C12" w:rsidRDefault="00617421" w:rsidP="004839BB"/>
    <w:p w:rsidR="00617421" w:rsidRPr="00AE4562" w:rsidRDefault="00617421" w:rsidP="00AE4562">
      <w:r w:rsidRPr="004B1C12">
        <w:t xml:space="preserve">In the </w:t>
      </w:r>
      <w:r>
        <w:t>midterm report, Georgia’s action plan contained three</w:t>
      </w:r>
      <w:r w:rsidRPr="00AE4562">
        <w:rPr>
          <w:color w:val="1F497D" w:themeColor="text2"/>
        </w:rPr>
        <w:t xml:space="preserve"> </w:t>
      </w:r>
      <w:r w:rsidRPr="00AE4562">
        <w:t xml:space="preserve">starred commitments. At the end of term, </w:t>
      </w:r>
      <w:r>
        <w:t xml:space="preserve">the number of starred commitments has not </w:t>
      </w:r>
      <w:r w:rsidRPr="00C82219">
        <w:t>changed and remained three.</w:t>
      </w:r>
      <w:r>
        <w:t xml:space="preserve"> </w:t>
      </w:r>
    </w:p>
    <w:p w:rsidR="00617421" w:rsidRPr="00AE4562" w:rsidRDefault="00617421" w:rsidP="004839BB"/>
    <w:p w:rsidR="00617421" w:rsidRPr="004B1C12" w:rsidRDefault="00617421" w:rsidP="004839BB">
      <w:r w:rsidRPr="004B1C12">
        <w:t>Finally, the tables in this section present an excerpt of the wealth of data the IRM collects during its reporting pr</w:t>
      </w:r>
      <w:r>
        <w:t xml:space="preserve">ocess. For the full dataset for Georgia, </w:t>
      </w:r>
      <w:r w:rsidRPr="004B1C12">
        <w:t xml:space="preserve">see the OGP Explorer at </w:t>
      </w:r>
      <w:hyperlink r:id="rId17" w:history="1">
        <w:r w:rsidRPr="004B1C12">
          <w:rPr>
            <w:rStyle w:val="Hyperlink"/>
          </w:rPr>
          <w:t>www.opengovpartnership.org/explorer</w:t>
        </w:r>
      </w:hyperlink>
      <w:r w:rsidRPr="004B1C12">
        <w:t>.</w:t>
      </w:r>
    </w:p>
    <w:p w:rsidR="00617421" w:rsidRPr="004B1C12" w:rsidRDefault="00617421" w:rsidP="00FE5928">
      <w:pPr>
        <w:pStyle w:val="Heading3"/>
      </w:pPr>
      <w:r w:rsidRPr="0010229D">
        <w:t xml:space="preserve">About “Did </w:t>
      </w:r>
      <w:r w:rsidRPr="004B1C12">
        <w:t>I</w:t>
      </w:r>
      <w:r w:rsidRPr="0010229D">
        <w:t>t Open Government?”</w:t>
      </w:r>
    </w:p>
    <w:p w:rsidR="00617421" w:rsidRPr="004B1C12" w:rsidRDefault="00617421" w:rsidP="004839BB">
      <w:pPr>
        <w:pStyle w:val="Normalrglronly"/>
      </w:pPr>
      <w:r w:rsidRPr="004B1C12">
        <w:t>To capture changes in government practice the IRM introduced a new variable “Did It Open Government?” in end-of-term reports. This variable attempts to move beyond measuring outputs and deliverables to looking at how the government practice has changed as a result of the commitment’s implementation.</w:t>
      </w:r>
    </w:p>
    <w:p w:rsidR="00617421" w:rsidRPr="004B1C12" w:rsidRDefault="00617421" w:rsidP="004839BB">
      <w:pPr>
        <w:pStyle w:val="Normalrglronly"/>
      </w:pPr>
      <w:r w:rsidRPr="004B1C12">
        <w:lastRenderedPageBreak/>
        <w:t>As written, some OGP commitments are vague and/or not clearly relevant to OGP values but achieve significant policy reforms. In other cases, commitments as written appear relevant and ambitious, but fail to open government as implemented.  The “Did It Open Government” variable attempts to captures these subtleties.</w:t>
      </w:r>
    </w:p>
    <w:p w:rsidR="00617421" w:rsidRPr="004B1C12" w:rsidRDefault="00617421" w:rsidP="00E11C76">
      <w:pPr>
        <w:pStyle w:val="NormalWeb"/>
        <w:spacing w:before="0" w:beforeAutospacing="0" w:after="0" w:afterAutospacing="0"/>
        <w:rPr>
          <w:rFonts w:ascii="Gill Sans" w:hAnsi="Gill Sans" w:cs="Gill Sans"/>
          <w:sz w:val="22"/>
          <w:szCs w:val="22"/>
          <w:lang w:val="en-US"/>
        </w:rPr>
      </w:pPr>
      <w:r w:rsidRPr="004B1C12">
        <w:rPr>
          <w:rFonts w:ascii="Gill Sans" w:hAnsi="Gill Sans" w:cs="Gill Sans"/>
          <w:sz w:val="22"/>
          <w:szCs w:val="22"/>
          <w:lang w:val="en-US"/>
        </w:rPr>
        <w:t>The “Did It Open Government?”</w:t>
      </w:r>
      <w:r w:rsidRPr="004B1C12">
        <w:rPr>
          <w:rFonts w:ascii="Gill Sans" w:hAnsi="Gill Sans" w:cs="Gill Sans"/>
          <w:color w:val="000000"/>
          <w:sz w:val="22"/>
          <w:szCs w:val="22"/>
          <w:lang w:val="en-US"/>
        </w:rPr>
        <w:t xml:space="preserve"> variable assesses changes in government practice using the following spectrum:</w:t>
      </w:r>
    </w:p>
    <w:p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Worsened:</w:t>
      </w:r>
      <w:r w:rsidRPr="004B1C12">
        <w:rPr>
          <w:rFonts w:ascii="Gill Sans" w:hAnsi="Gill Sans" w:cs="Gill Sans"/>
          <w:lang w:val="en-US"/>
        </w:rPr>
        <w:t xml:space="preserve"> </w:t>
      </w:r>
      <w:r w:rsidRPr="004B1C12">
        <w:rPr>
          <w:rFonts w:ascii="Gill Sans" w:hAnsi="Gill Sans" w:cs="Gill Sans"/>
          <w:sz w:val="22"/>
          <w:szCs w:val="22"/>
          <w:lang w:val="en-US"/>
        </w:rPr>
        <w:t>Government openness worsens as a result of the commitment.</w:t>
      </w:r>
    </w:p>
    <w:p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Did not change: No changes in government practice.</w:t>
      </w:r>
    </w:p>
    <w:p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 xml:space="preserve">Marginal: </w:t>
      </w:r>
      <w:r w:rsidRPr="004B1C12">
        <w:rPr>
          <w:rFonts w:ascii="Gill Sans" w:hAnsi="Gill Sans" w:cs="Gill Sans"/>
          <w:color w:val="222222"/>
          <w:sz w:val="22"/>
          <w:lang w:val="en-US" w:eastAsia="en-US"/>
        </w:rPr>
        <w:t>Some change, but minor in terms of its effect on level of openness</w:t>
      </w:r>
      <w:r w:rsidRPr="004B1C12">
        <w:rPr>
          <w:rFonts w:ascii="Gill Sans" w:hAnsi="Gill Sans" w:cs="Gill Sans"/>
          <w:color w:val="000000"/>
          <w:sz w:val="22"/>
          <w:szCs w:val="22"/>
          <w:lang w:val="en-US"/>
        </w:rPr>
        <w:t>.</w:t>
      </w:r>
    </w:p>
    <w:p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 xml:space="preserve">Major: </w:t>
      </w:r>
      <w:r w:rsidRPr="004B1C12">
        <w:rPr>
          <w:rFonts w:ascii="Gill Sans" w:hAnsi="Gill Sans" w:cs="Gill Sans"/>
          <w:sz w:val="22"/>
          <w:szCs w:val="22"/>
          <w:lang w:val="en-US"/>
        </w:rPr>
        <w:t>A step forward for government openness in the relevant policy area, but remains limited in scope or scale.</w:t>
      </w:r>
    </w:p>
    <w:p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Outstanding: A reform that has transformed “business as usual” in the relevant policy area by opening government.</w:t>
      </w:r>
      <w:r w:rsidRPr="004B1C12">
        <w:rPr>
          <w:rFonts w:ascii="Gill Sans" w:hAnsi="Gill Sans" w:cs="Gill Sans"/>
          <w:lang w:val="en-US"/>
        </w:rPr>
        <w:t xml:space="preserve"> </w:t>
      </w:r>
    </w:p>
    <w:p w:rsidR="00617421" w:rsidRPr="004B1C12" w:rsidRDefault="00617421" w:rsidP="004839BB">
      <w:pPr>
        <w:pStyle w:val="Normalrglronly"/>
      </w:pPr>
      <w:r w:rsidRPr="004B1C12">
        <w:t xml:space="preserve">To assess this variable, researchers establish the status quo at the outset of the action plan. They then assess outcomes </w:t>
      </w:r>
      <w:r w:rsidRPr="004B1C12">
        <w:rPr>
          <w:i/>
          <w:iCs/>
        </w:rPr>
        <w:t>as implemented</w:t>
      </w:r>
      <w:r w:rsidRPr="004B1C12">
        <w:t xml:space="preserve"> for changes in government openness.</w:t>
      </w:r>
    </w:p>
    <w:p w:rsidR="00617421" w:rsidRPr="004B1C12" w:rsidRDefault="00617421" w:rsidP="004839BB">
      <w:pPr>
        <w:pStyle w:val="Normalrglronly"/>
      </w:pPr>
      <w:r w:rsidRPr="004B1C12">
        <w:t>Readers should keep in mind limitations. IRM end-of-term reports are prepared only a few months after the implementation cycle is completed. The variable focuses on outcomes that can be observed in government openness practices at the end of the two-year implementation period. The report and the variable do not intend to assess impact because of the complex methodological implications and the time frame of the report.</w:t>
      </w:r>
    </w:p>
    <w:p w:rsidR="00617421" w:rsidRPr="004B1C12" w:rsidRDefault="00617421" w:rsidP="00B0395A">
      <w:pPr>
        <w:pStyle w:val="Normalrglronly"/>
        <w:sectPr w:rsidR="00617421" w:rsidRPr="004B1C12" w:rsidSect="00307994">
          <w:endnotePr>
            <w:numFmt w:val="decimal"/>
            <w:numRestart w:val="eachSect"/>
          </w:endnotePr>
          <w:pgSz w:w="11907" w:h="16839" w:code="9"/>
          <w:pgMar w:top="1417" w:right="1417" w:bottom="1417" w:left="1417" w:header="0" w:footer="0" w:gutter="0"/>
          <w:cols w:space="708"/>
          <w:docGrid w:linePitch="360"/>
        </w:sectPr>
      </w:pPr>
    </w:p>
    <w:p w:rsidR="00617421" w:rsidRPr="004B1C12" w:rsidRDefault="00617421" w:rsidP="00E345AA">
      <w:pPr>
        <w:pStyle w:val="Heading1"/>
      </w:pPr>
      <w:bookmarkStart w:id="2" w:name="_Toc409220372"/>
      <w:r w:rsidRPr="004B1C12">
        <w:lastRenderedPageBreak/>
        <w:t>Commitment Implementation</w:t>
      </w:r>
      <w:bookmarkEnd w:id="2"/>
    </w:p>
    <w:p w:rsidR="00617421" w:rsidRPr="0010229D" w:rsidRDefault="00617421" w:rsidP="00FE5928">
      <w:pPr>
        <w:pStyle w:val="Heading3"/>
      </w:pPr>
      <w:r w:rsidRPr="0010229D">
        <w:t xml:space="preserve">General </w:t>
      </w:r>
      <w:r w:rsidRPr="004B1C12">
        <w:t>O</w:t>
      </w:r>
      <w:r w:rsidRPr="0010229D">
        <w:t xml:space="preserve">verview of </w:t>
      </w:r>
      <w:r w:rsidRPr="004B1C12">
        <w:t>C</w:t>
      </w:r>
      <w:r w:rsidRPr="0010229D">
        <w:t>ommitments</w:t>
      </w:r>
    </w:p>
    <w:p w:rsidR="00617421" w:rsidRDefault="00617421" w:rsidP="00E91B86">
      <w:pPr>
        <w:spacing w:after="120"/>
        <w:jc w:val="both"/>
      </w:pPr>
      <w:r w:rsidRPr="004B1C12">
        <w:t>As part of OGP, countries are required to make commitments in a two-year action plan. The tables below summarize the completion level at the end of term and progress on the “Did It Open Government?” metric. For commitments that were complete at the midterm, the report will provide a summary of the progress</w:t>
      </w:r>
      <w:r>
        <w:t xml:space="preserve"> </w:t>
      </w:r>
      <w:r w:rsidRPr="004B1C12">
        <w:t>report findings but focus on analysis of the ‘Did It Open Government?’ variable. For further details on these commitments</w:t>
      </w:r>
      <w:r>
        <w:t xml:space="preserve">, please see the Georgia </w:t>
      </w:r>
      <w:r w:rsidRPr="004B1C12">
        <w:t xml:space="preserve">IRM progress report </w:t>
      </w:r>
      <w:r>
        <w:t>2016-2017.</w:t>
      </w:r>
      <w:r w:rsidRPr="004B1C12">
        <w:t xml:space="preserve"> </w:t>
      </w:r>
    </w:p>
    <w:p w:rsidR="00617421" w:rsidRPr="00BD59F7" w:rsidRDefault="00617421" w:rsidP="00E91B86">
      <w:pPr>
        <w:spacing w:after="120"/>
        <w:jc w:val="both"/>
        <w:rPr>
          <w:color w:val="000000" w:themeColor="text1"/>
          <w:szCs w:val="22"/>
        </w:rPr>
      </w:pPr>
      <w:r w:rsidRPr="00BD59F7">
        <w:rPr>
          <w:color w:val="000000" w:themeColor="text1"/>
          <w:szCs w:val="22"/>
        </w:rPr>
        <w:t xml:space="preserve">The </w:t>
      </w:r>
      <w:r>
        <w:rPr>
          <w:color w:val="000000" w:themeColor="text1"/>
          <w:szCs w:val="22"/>
        </w:rPr>
        <w:t xml:space="preserve">third </w:t>
      </w:r>
      <w:r w:rsidRPr="00BD59F7">
        <w:rPr>
          <w:color w:val="000000" w:themeColor="text1"/>
          <w:szCs w:val="22"/>
        </w:rPr>
        <w:t>action plan focused on three key areas</w:t>
      </w:r>
      <w:r>
        <w:rPr>
          <w:color w:val="000000" w:themeColor="text1"/>
          <w:szCs w:val="22"/>
        </w:rPr>
        <w:t>:</w:t>
      </w:r>
      <w:r w:rsidRPr="00BD59F7">
        <w:rPr>
          <w:color w:val="000000" w:themeColor="text1"/>
          <w:szCs w:val="22"/>
        </w:rPr>
        <w:t xml:space="preserve"> </w:t>
      </w:r>
      <w:r>
        <w:rPr>
          <w:color w:val="000000" w:themeColor="text1"/>
          <w:szCs w:val="22"/>
        </w:rPr>
        <w:t>i</w:t>
      </w:r>
      <w:r w:rsidRPr="00BD59F7">
        <w:rPr>
          <w:color w:val="000000" w:themeColor="text1"/>
          <w:szCs w:val="22"/>
        </w:rPr>
        <w:t>mprovement of the integrity of public administration agencies, improvement of the quality of public services, and improvement of the efficiency of using community resources.</w:t>
      </w:r>
    </w:p>
    <w:p w:rsidR="00617421" w:rsidRDefault="00617421" w:rsidP="00E91B86">
      <w:pPr>
        <w:pStyle w:val="Normalrglronly"/>
      </w:pPr>
      <w:r>
        <w:t>A</w:t>
      </w:r>
      <w:r w:rsidRPr="00BD59F7">
        <w:t>ll five OGP grand challenges</w:t>
      </w:r>
      <w:r w:rsidRPr="001B4E2C">
        <w:t>—</w:t>
      </w:r>
      <w:r w:rsidRPr="00BD59F7">
        <w:t>improving public services, increasing public integrity, more effectively managing public resources, creating safer communities, and incre</w:t>
      </w:r>
      <w:r>
        <w:t xml:space="preserve">asing corporate accountability – were addressed by the government. </w:t>
      </w:r>
    </w:p>
    <w:p w:rsidR="00617421" w:rsidRPr="00E91B86" w:rsidRDefault="00617421" w:rsidP="00E91B86">
      <w:pPr>
        <w:pStyle w:val="Normalrglronly"/>
      </w:pPr>
      <w:r w:rsidRPr="00BD59F7">
        <w:t xml:space="preserve">The IRM did not change the initial structure of the action plan as approved by the government. Due to the technical nature of the milestones, </w:t>
      </w:r>
      <w:r>
        <w:t>both mid-term and end of term reports provided</w:t>
      </w:r>
      <w:r w:rsidRPr="00BD59F7">
        <w:t xml:space="preserve"> assessment at the commitment lev</w:t>
      </w:r>
      <w:r>
        <w:t xml:space="preserve">el, not at the milestone level. Finally, the assessment methodology did not change from mid-term to end of term. </w:t>
      </w:r>
    </w:p>
    <w:p w:rsidR="00617421" w:rsidRPr="004B1C12" w:rsidRDefault="00617421" w:rsidP="00382EDA">
      <w:pPr>
        <w:pStyle w:val="Tableheader"/>
        <w:rPr>
          <w:rFonts w:ascii="Gill Sans" w:hAnsi="Gill Sans"/>
          <w:b/>
          <w:color w:val="1F497D" w:themeColor="text2"/>
          <w:highlight w:val="yellow"/>
        </w:rPr>
      </w:pPr>
    </w:p>
    <w:p w:rsidR="00617421" w:rsidRPr="00E91B86" w:rsidRDefault="00617421" w:rsidP="00382EDA">
      <w:pPr>
        <w:pStyle w:val="Tableheader"/>
        <w:rPr>
          <w:rFonts w:ascii="Gill Sans" w:hAnsi="Gill Sans"/>
          <w:b/>
          <w:color w:val="1F497D" w:themeColor="text2"/>
        </w:rPr>
      </w:pPr>
      <w:r w:rsidRPr="00E91B86">
        <w:rPr>
          <w:rFonts w:ascii="Gill Sans" w:hAnsi="Gill Sans"/>
          <w:b/>
          <w:color w:val="1F497D" w:themeColor="text2"/>
        </w:rPr>
        <w:t>Table 4: Assessment of Progress by Commitment</w:t>
      </w:r>
    </w:p>
    <w:p w:rsidR="00617421" w:rsidRPr="004B1C12" w:rsidRDefault="00617421" w:rsidP="00EC4256">
      <w:pPr>
        <w:pStyle w:val="Tableheader"/>
        <w:rPr>
          <w:rFonts w:ascii="Gill Sans" w:hAnsi="Gill Sans"/>
          <w:highlight w:val="yellow"/>
        </w:rPr>
      </w:pPr>
    </w:p>
    <w:p w:rsidR="00617421" w:rsidRPr="004B1C12" w:rsidRDefault="00617421" w:rsidP="00EC4256">
      <w:pPr>
        <w:pStyle w:val="Tableheader"/>
        <w:rPr>
          <w:rFonts w:ascii="Gill Sans" w:hAnsi="Gill Sans"/>
          <w:highlight w:val="yellow"/>
        </w:rPr>
      </w:pPr>
    </w:p>
    <w:p w:rsidR="00617421" w:rsidRPr="004B1C12" w:rsidRDefault="00617421" w:rsidP="00EC4256">
      <w:pPr>
        <w:pStyle w:val="Tableheader"/>
        <w:rPr>
          <w:rFonts w:ascii="Gill Sans" w:hAnsi="Gill Sans"/>
        </w:rPr>
      </w:pPr>
    </w:p>
    <w:tbl>
      <w:tblPr>
        <w:tblW w:w="11251" w:type="dxa"/>
        <w:tblInd w:w="-9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8"/>
        <w:gridCol w:w="453"/>
        <w:gridCol w:w="456"/>
        <w:gridCol w:w="360"/>
        <w:gridCol w:w="361"/>
        <w:gridCol w:w="513"/>
        <w:gridCol w:w="84"/>
        <w:gridCol w:w="306"/>
        <w:gridCol w:w="291"/>
        <w:gridCol w:w="100"/>
        <w:gridCol w:w="497"/>
        <w:gridCol w:w="597"/>
        <w:gridCol w:w="372"/>
        <w:gridCol w:w="372"/>
        <w:gridCol w:w="372"/>
        <w:gridCol w:w="373"/>
        <w:gridCol w:w="573"/>
        <w:gridCol w:w="630"/>
        <w:gridCol w:w="175"/>
        <w:gridCol w:w="275"/>
        <w:gridCol w:w="593"/>
        <w:gridCol w:w="406"/>
        <w:gridCol w:w="343"/>
        <w:gridCol w:w="343"/>
        <w:gridCol w:w="343"/>
        <w:gridCol w:w="435"/>
      </w:tblGrid>
      <w:tr w:rsidR="00617421" w:rsidRPr="004B1C12" w:rsidTr="000701C2">
        <w:trPr>
          <w:trHeight w:val="537"/>
        </w:trPr>
        <w:tc>
          <w:tcPr>
            <w:tcW w:w="1628" w:type="dxa"/>
            <w:vMerge w:val="restart"/>
            <w:shd w:val="clear" w:color="auto" w:fill="000000" w:themeFill="text1"/>
          </w:tcPr>
          <w:p w:rsidR="00617421" w:rsidRPr="004B1C12" w:rsidRDefault="00617421" w:rsidP="000701C2">
            <w:pPr>
              <w:pStyle w:val="Rowcolumntitles"/>
              <w:jc w:val="center"/>
              <w:rPr>
                <w:color w:val="FFFFFF" w:themeColor="background1"/>
              </w:rPr>
            </w:pPr>
            <w:r w:rsidRPr="004B1C12">
              <w:rPr>
                <w:color w:val="FFFFFF" w:themeColor="background1"/>
              </w:rPr>
              <w:t>Commitment Overview</w:t>
            </w:r>
          </w:p>
        </w:tc>
        <w:tc>
          <w:tcPr>
            <w:tcW w:w="1630" w:type="dxa"/>
            <w:gridSpan w:val="4"/>
            <w:vMerge w:val="restart"/>
            <w:shd w:val="clear" w:color="auto" w:fill="D6E3BC" w:themeFill="accent3" w:themeFillTint="66"/>
          </w:tcPr>
          <w:p w:rsidR="00617421" w:rsidRPr="004B1C12" w:rsidRDefault="00617421" w:rsidP="000701C2">
            <w:pPr>
              <w:pStyle w:val="Rowcolumntitles"/>
            </w:pPr>
            <w:r w:rsidRPr="004B1C12">
              <w:t>Specificity</w:t>
            </w:r>
          </w:p>
        </w:tc>
        <w:tc>
          <w:tcPr>
            <w:tcW w:w="2388" w:type="dxa"/>
            <w:gridSpan w:val="7"/>
            <w:vMerge w:val="restart"/>
            <w:shd w:val="clear" w:color="auto" w:fill="FBD4B4" w:themeFill="accent6" w:themeFillTint="66"/>
          </w:tcPr>
          <w:p w:rsidR="00617421" w:rsidRPr="004B1C12" w:rsidRDefault="00617421" w:rsidP="000701C2">
            <w:pPr>
              <w:pStyle w:val="Rowcolumntitles"/>
            </w:pPr>
            <w:r w:rsidRPr="00C82219">
              <w:t>OGP Value Relevance (as written)</w:t>
            </w:r>
          </w:p>
        </w:tc>
        <w:tc>
          <w:tcPr>
            <w:tcW w:w="1489" w:type="dxa"/>
            <w:gridSpan w:val="4"/>
            <w:vMerge w:val="restart"/>
            <w:shd w:val="clear" w:color="auto" w:fill="CCC0D9" w:themeFill="accent4" w:themeFillTint="66"/>
          </w:tcPr>
          <w:p w:rsidR="00617421" w:rsidRPr="004B1C12" w:rsidRDefault="00617421" w:rsidP="000701C2">
            <w:pPr>
              <w:pStyle w:val="Rowcolumntitles"/>
            </w:pPr>
            <w:r w:rsidRPr="004B1C12">
              <w:t>Potential Impact</w:t>
            </w:r>
          </w:p>
        </w:tc>
        <w:tc>
          <w:tcPr>
            <w:tcW w:w="1378" w:type="dxa"/>
            <w:gridSpan w:val="3"/>
            <w:vMerge w:val="restart"/>
            <w:shd w:val="clear" w:color="auto" w:fill="B8CCE4" w:themeFill="accent1" w:themeFillTint="66"/>
          </w:tcPr>
          <w:p w:rsidR="00617421" w:rsidRPr="004B1C12" w:rsidRDefault="00617421" w:rsidP="000701C2">
            <w:pPr>
              <w:pStyle w:val="Rowcolumntitles"/>
            </w:pPr>
            <w:r w:rsidRPr="004B1C12">
              <w:t>Completion</w:t>
            </w:r>
          </w:p>
        </w:tc>
        <w:tc>
          <w:tcPr>
            <w:tcW w:w="868" w:type="dxa"/>
            <w:gridSpan w:val="2"/>
            <w:shd w:val="clear" w:color="auto" w:fill="B8CCE4" w:themeFill="accent1" w:themeFillTint="66"/>
          </w:tcPr>
          <w:p w:rsidR="00617421" w:rsidRPr="004B1C12" w:rsidRDefault="00617421" w:rsidP="000701C2">
            <w:pPr>
              <w:pStyle w:val="Rowcolumntitles"/>
              <w:jc w:val="center"/>
              <w:rPr>
                <w:sz w:val="18"/>
              </w:rPr>
            </w:pPr>
            <w:r w:rsidRPr="004B1C12">
              <w:rPr>
                <w:sz w:val="18"/>
              </w:rPr>
              <w:t>Midterm</w:t>
            </w:r>
          </w:p>
        </w:tc>
        <w:tc>
          <w:tcPr>
            <w:tcW w:w="1870" w:type="dxa"/>
            <w:gridSpan w:val="5"/>
            <w:vMerge w:val="restart"/>
            <w:shd w:val="clear" w:color="auto" w:fill="D99594" w:themeFill="accent2" w:themeFillTint="99"/>
          </w:tcPr>
          <w:p w:rsidR="00617421" w:rsidRPr="004B1C12" w:rsidRDefault="00617421" w:rsidP="000701C2">
            <w:pPr>
              <w:pStyle w:val="Rowcolumntitles"/>
            </w:pPr>
            <w:r w:rsidRPr="004B1C12">
              <w:t>Did It Open Government?</w:t>
            </w:r>
          </w:p>
        </w:tc>
      </w:tr>
      <w:tr w:rsidR="00617421" w:rsidRPr="004B1C12" w:rsidTr="000701C2">
        <w:trPr>
          <w:trHeight w:val="536"/>
        </w:trPr>
        <w:tc>
          <w:tcPr>
            <w:tcW w:w="1628" w:type="dxa"/>
            <w:vMerge/>
            <w:shd w:val="clear" w:color="auto" w:fill="000000" w:themeFill="text1"/>
          </w:tcPr>
          <w:p w:rsidR="00617421" w:rsidRPr="004B1C12" w:rsidRDefault="00617421" w:rsidP="000701C2">
            <w:pPr>
              <w:pStyle w:val="Rowcolumntitles"/>
              <w:jc w:val="center"/>
              <w:rPr>
                <w:color w:val="FFFFFF" w:themeColor="background1"/>
              </w:rPr>
            </w:pPr>
          </w:p>
        </w:tc>
        <w:tc>
          <w:tcPr>
            <w:tcW w:w="1630" w:type="dxa"/>
            <w:gridSpan w:val="4"/>
            <w:vMerge/>
            <w:shd w:val="clear" w:color="auto" w:fill="D6E3BC" w:themeFill="accent3" w:themeFillTint="66"/>
          </w:tcPr>
          <w:p w:rsidR="00617421" w:rsidRPr="004B1C12" w:rsidRDefault="00617421" w:rsidP="000701C2">
            <w:pPr>
              <w:pStyle w:val="Rowcolumntitles"/>
            </w:pPr>
          </w:p>
        </w:tc>
        <w:tc>
          <w:tcPr>
            <w:tcW w:w="2388" w:type="dxa"/>
            <w:gridSpan w:val="7"/>
            <w:vMerge/>
            <w:shd w:val="clear" w:color="auto" w:fill="FBD4B4" w:themeFill="accent6" w:themeFillTint="66"/>
          </w:tcPr>
          <w:p w:rsidR="00617421" w:rsidRPr="004B1C12" w:rsidRDefault="00617421" w:rsidP="000701C2">
            <w:pPr>
              <w:pStyle w:val="Rowcolumntitles"/>
            </w:pPr>
          </w:p>
        </w:tc>
        <w:tc>
          <w:tcPr>
            <w:tcW w:w="1489" w:type="dxa"/>
            <w:gridSpan w:val="4"/>
            <w:vMerge/>
            <w:shd w:val="clear" w:color="auto" w:fill="CCC0D9" w:themeFill="accent4" w:themeFillTint="66"/>
          </w:tcPr>
          <w:p w:rsidR="00617421" w:rsidRPr="004B1C12" w:rsidRDefault="00617421" w:rsidP="000701C2">
            <w:pPr>
              <w:pStyle w:val="Rowcolumntitles"/>
            </w:pPr>
          </w:p>
        </w:tc>
        <w:tc>
          <w:tcPr>
            <w:tcW w:w="1378" w:type="dxa"/>
            <w:gridSpan w:val="3"/>
            <w:vMerge/>
            <w:shd w:val="clear" w:color="auto" w:fill="B8CCE4" w:themeFill="accent1" w:themeFillTint="66"/>
          </w:tcPr>
          <w:p w:rsidR="00617421" w:rsidRPr="004B1C12" w:rsidRDefault="00617421" w:rsidP="000701C2">
            <w:pPr>
              <w:pStyle w:val="Rowcolumntitles"/>
            </w:pPr>
          </w:p>
        </w:tc>
        <w:tc>
          <w:tcPr>
            <w:tcW w:w="868" w:type="dxa"/>
            <w:gridSpan w:val="2"/>
            <w:shd w:val="clear" w:color="auto" w:fill="B8CCE4" w:themeFill="accent1" w:themeFillTint="66"/>
          </w:tcPr>
          <w:p w:rsidR="00617421" w:rsidRPr="004B1C12" w:rsidRDefault="00617421" w:rsidP="000701C2">
            <w:pPr>
              <w:pStyle w:val="Rowcolumntitles"/>
              <w:jc w:val="center"/>
              <w:rPr>
                <w:sz w:val="18"/>
              </w:rPr>
            </w:pPr>
            <w:r w:rsidRPr="004B1C12">
              <w:rPr>
                <w:sz w:val="18"/>
              </w:rPr>
              <w:t>End of Term</w:t>
            </w:r>
          </w:p>
        </w:tc>
        <w:tc>
          <w:tcPr>
            <w:tcW w:w="1870" w:type="dxa"/>
            <w:gridSpan w:val="5"/>
            <w:vMerge/>
            <w:shd w:val="clear" w:color="auto" w:fill="D99594" w:themeFill="accent2" w:themeFillTint="99"/>
          </w:tcPr>
          <w:p w:rsidR="00617421" w:rsidRPr="004B1C12" w:rsidRDefault="00617421" w:rsidP="000701C2">
            <w:pPr>
              <w:pStyle w:val="Rowcolumntitles"/>
            </w:pPr>
          </w:p>
        </w:tc>
      </w:tr>
      <w:tr w:rsidR="00617421" w:rsidRPr="004B1C12" w:rsidTr="00505B0A">
        <w:trPr>
          <w:cantSplit/>
          <w:trHeight w:val="2048"/>
        </w:trPr>
        <w:tc>
          <w:tcPr>
            <w:tcW w:w="1628" w:type="dxa"/>
            <w:vMerge/>
            <w:shd w:val="clear" w:color="auto" w:fill="000000" w:themeFill="text1"/>
          </w:tcPr>
          <w:p w:rsidR="00617421" w:rsidRPr="004B1C12" w:rsidRDefault="00617421" w:rsidP="000701C2">
            <w:pPr>
              <w:pStyle w:val="Rowcolumntitles"/>
              <w:rPr>
                <w:color w:val="FFFFFF" w:themeColor="background1"/>
              </w:rPr>
            </w:pPr>
          </w:p>
        </w:tc>
        <w:tc>
          <w:tcPr>
            <w:tcW w:w="453" w:type="dxa"/>
            <w:shd w:val="clear" w:color="auto" w:fill="D6E3BC" w:themeFill="accent3" w:themeFillTint="66"/>
            <w:textDirection w:val="btLr"/>
          </w:tcPr>
          <w:p w:rsidR="00617421" w:rsidRPr="004B1C12" w:rsidRDefault="00617421" w:rsidP="000701C2">
            <w:pPr>
              <w:pStyle w:val="Rowcolumntitles"/>
            </w:pPr>
            <w:r w:rsidRPr="004B1C12">
              <w:t>None</w:t>
            </w:r>
          </w:p>
        </w:tc>
        <w:tc>
          <w:tcPr>
            <w:tcW w:w="456" w:type="dxa"/>
            <w:shd w:val="clear" w:color="auto" w:fill="D6E3BC" w:themeFill="accent3" w:themeFillTint="66"/>
            <w:textDirection w:val="btLr"/>
          </w:tcPr>
          <w:p w:rsidR="00617421" w:rsidRPr="004B1C12" w:rsidRDefault="00617421" w:rsidP="000701C2">
            <w:pPr>
              <w:pStyle w:val="Rowcolumntitles"/>
            </w:pPr>
            <w:r w:rsidRPr="004B1C12">
              <w:t>Low</w:t>
            </w:r>
          </w:p>
        </w:tc>
        <w:tc>
          <w:tcPr>
            <w:tcW w:w="360" w:type="dxa"/>
            <w:shd w:val="clear" w:color="auto" w:fill="D6E3BC" w:themeFill="accent3" w:themeFillTint="66"/>
            <w:textDirection w:val="btLr"/>
          </w:tcPr>
          <w:p w:rsidR="00617421" w:rsidRPr="004B1C12" w:rsidRDefault="00617421" w:rsidP="000701C2">
            <w:pPr>
              <w:pStyle w:val="Rowcolumntitles"/>
            </w:pPr>
            <w:r w:rsidRPr="004B1C12">
              <w:t>Medium</w:t>
            </w:r>
          </w:p>
        </w:tc>
        <w:tc>
          <w:tcPr>
            <w:tcW w:w="361" w:type="dxa"/>
            <w:shd w:val="clear" w:color="auto" w:fill="D6E3BC" w:themeFill="accent3" w:themeFillTint="66"/>
            <w:textDirection w:val="btLr"/>
          </w:tcPr>
          <w:p w:rsidR="00617421" w:rsidRPr="004B1C12" w:rsidRDefault="00617421" w:rsidP="000701C2">
            <w:pPr>
              <w:pStyle w:val="Rowcolumntitles"/>
            </w:pPr>
            <w:r w:rsidRPr="004B1C12">
              <w:t>High</w:t>
            </w:r>
          </w:p>
        </w:tc>
        <w:tc>
          <w:tcPr>
            <w:tcW w:w="513" w:type="dxa"/>
            <w:shd w:val="clear" w:color="auto" w:fill="FBD4B4" w:themeFill="accent6" w:themeFillTint="66"/>
            <w:textDirection w:val="btLr"/>
          </w:tcPr>
          <w:p w:rsidR="00617421" w:rsidRPr="004B1C12" w:rsidRDefault="00617421" w:rsidP="000701C2">
            <w:pPr>
              <w:pStyle w:val="Rowcolumntitles"/>
            </w:pPr>
            <w:r w:rsidRPr="004B1C12">
              <w:t>Access to Information</w:t>
            </w:r>
          </w:p>
        </w:tc>
        <w:tc>
          <w:tcPr>
            <w:tcW w:w="390" w:type="dxa"/>
            <w:gridSpan w:val="2"/>
            <w:shd w:val="clear" w:color="auto" w:fill="FBD4B4" w:themeFill="accent6" w:themeFillTint="66"/>
            <w:textDirection w:val="btLr"/>
          </w:tcPr>
          <w:p w:rsidR="00617421" w:rsidRPr="004B1C12" w:rsidRDefault="00617421" w:rsidP="000701C2">
            <w:pPr>
              <w:pStyle w:val="Rowcolumntitles"/>
            </w:pPr>
            <w:r w:rsidRPr="004B1C12">
              <w:t>Civic Participation</w:t>
            </w:r>
          </w:p>
        </w:tc>
        <w:tc>
          <w:tcPr>
            <w:tcW w:w="391" w:type="dxa"/>
            <w:gridSpan w:val="2"/>
            <w:shd w:val="clear" w:color="auto" w:fill="FBD4B4" w:themeFill="accent6" w:themeFillTint="66"/>
            <w:textDirection w:val="btLr"/>
          </w:tcPr>
          <w:p w:rsidR="00617421" w:rsidRPr="004B1C12" w:rsidRDefault="00617421" w:rsidP="000701C2">
            <w:pPr>
              <w:pStyle w:val="Rowcolumntitles"/>
            </w:pPr>
            <w:r w:rsidRPr="004B1C12">
              <w:t>Public Accountability</w:t>
            </w:r>
          </w:p>
        </w:tc>
        <w:tc>
          <w:tcPr>
            <w:tcW w:w="1094" w:type="dxa"/>
            <w:gridSpan w:val="2"/>
            <w:shd w:val="clear" w:color="auto" w:fill="FBD4B4" w:themeFill="accent6" w:themeFillTint="66"/>
            <w:textDirection w:val="btLr"/>
          </w:tcPr>
          <w:p w:rsidR="00617421" w:rsidRPr="004B1C12" w:rsidRDefault="00617421" w:rsidP="000701C2">
            <w:pPr>
              <w:pStyle w:val="Rowcolumntitles"/>
            </w:pPr>
            <w:r w:rsidRPr="004B1C12">
              <w:t>Technology &amp; Innovation for Transparency &amp; Accountability</w:t>
            </w:r>
          </w:p>
        </w:tc>
        <w:tc>
          <w:tcPr>
            <w:tcW w:w="372" w:type="dxa"/>
            <w:shd w:val="clear" w:color="auto" w:fill="CCC0D9" w:themeFill="accent4" w:themeFillTint="66"/>
            <w:textDirection w:val="btLr"/>
          </w:tcPr>
          <w:p w:rsidR="00617421" w:rsidRPr="004B1C12" w:rsidRDefault="00617421" w:rsidP="000701C2">
            <w:pPr>
              <w:pStyle w:val="Rowcolumntitles"/>
            </w:pPr>
            <w:r w:rsidRPr="004B1C12">
              <w:t>None</w:t>
            </w:r>
          </w:p>
        </w:tc>
        <w:tc>
          <w:tcPr>
            <w:tcW w:w="372" w:type="dxa"/>
            <w:shd w:val="clear" w:color="auto" w:fill="CCC0D9" w:themeFill="accent4" w:themeFillTint="66"/>
            <w:textDirection w:val="btLr"/>
          </w:tcPr>
          <w:p w:rsidR="00617421" w:rsidRPr="004B1C12" w:rsidRDefault="00617421" w:rsidP="000701C2">
            <w:pPr>
              <w:pStyle w:val="Rowcolumntitles"/>
            </w:pPr>
            <w:r w:rsidRPr="004B1C12">
              <w:t>Minor</w:t>
            </w:r>
          </w:p>
        </w:tc>
        <w:tc>
          <w:tcPr>
            <w:tcW w:w="372" w:type="dxa"/>
            <w:shd w:val="clear" w:color="auto" w:fill="CCC0D9" w:themeFill="accent4" w:themeFillTint="66"/>
            <w:textDirection w:val="btLr"/>
          </w:tcPr>
          <w:p w:rsidR="00617421" w:rsidRPr="004B1C12" w:rsidRDefault="00617421" w:rsidP="000701C2">
            <w:pPr>
              <w:pStyle w:val="Rowcolumntitles"/>
            </w:pPr>
            <w:r w:rsidRPr="004B1C12">
              <w:t>Moderate</w:t>
            </w:r>
          </w:p>
        </w:tc>
        <w:tc>
          <w:tcPr>
            <w:tcW w:w="373" w:type="dxa"/>
            <w:shd w:val="clear" w:color="auto" w:fill="CCC0D9" w:themeFill="accent4" w:themeFillTint="66"/>
            <w:textDirection w:val="btLr"/>
          </w:tcPr>
          <w:p w:rsidR="00617421" w:rsidRPr="004B1C12" w:rsidRDefault="00617421" w:rsidP="000701C2">
            <w:pPr>
              <w:pStyle w:val="Rowcolumntitles"/>
            </w:pPr>
            <w:r w:rsidRPr="004B1C12">
              <w:t>Transformative</w:t>
            </w:r>
          </w:p>
        </w:tc>
        <w:tc>
          <w:tcPr>
            <w:tcW w:w="573" w:type="dxa"/>
            <w:shd w:val="clear" w:color="auto" w:fill="B8CCE4" w:themeFill="accent1" w:themeFillTint="66"/>
            <w:textDirection w:val="btLr"/>
          </w:tcPr>
          <w:p w:rsidR="00617421" w:rsidRPr="004B1C12" w:rsidRDefault="00617421" w:rsidP="000701C2">
            <w:pPr>
              <w:pStyle w:val="Rowcolumntitles"/>
            </w:pPr>
            <w:r w:rsidRPr="004B1C12">
              <w:t>Not Started</w:t>
            </w:r>
          </w:p>
        </w:tc>
        <w:tc>
          <w:tcPr>
            <w:tcW w:w="630" w:type="dxa"/>
            <w:shd w:val="clear" w:color="auto" w:fill="B8CCE4" w:themeFill="accent1" w:themeFillTint="66"/>
            <w:textDirection w:val="btLr"/>
          </w:tcPr>
          <w:p w:rsidR="00617421" w:rsidRPr="004B1C12" w:rsidRDefault="00617421" w:rsidP="000701C2">
            <w:pPr>
              <w:pStyle w:val="Rowcolumntitles"/>
            </w:pPr>
            <w:r w:rsidRPr="004B1C12">
              <w:t>Limited</w:t>
            </w:r>
          </w:p>
        </w:tc>
        <w:tc>
          <w:tcPr>
            <w:tcW w:w="450" w:type="dxa"/>
            <w:gridSpan w:val="2"/>
            <w:shd w:val="clear" w:color="auto" w:fill="B8CCE4" w:themeFill="accent1" w:themeFillTint="66"/>
            <w:textDirection w:val="btLr"/>
          </w:tcPr>
          <w:p w:rsidR="00617421" w:rsidRPr="004B1C12" w:rsidRDefault="00617421" w:rsidP="000701C2">
            <w:pPr>
              <w:pStyle w:val="Rowcolumntitles"/>
            </w:pPr>
            <w:r w:rsidRPr="004B1C12">
              <w:t>Substantial</w:t>
            </w:r>
          </w:p>
        </w:tc>
        <w:tc>
          <w:tcPr>
            <w:tcW w:w="593" w:type="dxa"/>
            <w:shd w:val="clear" w:color="auto" w:fill="B8CCE4" w:themeFill="accent1" w:themeFillTint="66"/>
            <w:textDirection w:val="btLr"/>
          </w:tcPr>
          <w:p w:rsidR="00617421" w:rsidRPr="004B1C12" w:rsidRDefault="00617421" w:rsidP="000701C2">
            <w:pPr>
              <w:pStyle w:val="Rowcolumntitles"/>
            </w:pPr>
            <w:r w:rsidRPr="004B1C12">
              <w:t>Completed</w:t>
            </w:r>
          </w:p>
        </w:tc>
        <w:tc>
          <w:tcPr>
            <w:tcW w:w="406" w:type="dxa"/>
            <w:shd w:val="clear" w:color="auto" w:fill="D99594" w:themeFill="accent2" w:themeFillTint="99"/>
            <w:textDirection w:val="btLr"/>
          </w:tcPr>
          <w:p w:rsidR="00617421" w:rsidRPr="004B1C12" w:rsidRDefault="00617421" w:rsidP="000701C2">
            <w:pPr>
              <w:pStyle w:val="Rowcolumntitles"/>
            </w:pPr>
            <w:r w:rsidRPr="004B1C12">
              <w:t>Worsened</w:t>
            </w:r>
          </w:p>
        </w:tc>
        <w:tc>
          <w:tcPr>
            <w:tcW w:w="343" w:type="dxa"/>
            <w:shd w:val="clear" w:color="auto" w:fill="D99594" w:themeFill="accent2" w:themeFillTint="99"/>
            <w:textDirection w:val="btLr"/>
          </w:tcPr>
          <w:p w:rsidR="00617421" w:rsidRPr="004B1C12" w:rsidRDefault="00617421" w:rsidP="000701C2">
            <w:pPr>
              <w:pStyle w:val="Rowcolumntitles"/>
            </w:pPr>
            <w:r w:rsidRPr="004B1C12">
              <w:t>Did Not Change</w:t>
            </w:r>
          </w:p>
        </w:tc>
        <w:tc>
          <w:tcPr>
            <w:tcW w:w="343" w:type="dxa"/>
            <w:shd w:val="clear" w:color="auto" w:fill="D99594" w:themeFill="accent2" w:themeFillTint="99"/>
            <w:textDirection w:val="btLr"/>
          </w:tcPr>
          <w:p w:rsidR="00617421" w:rsidRPr="004B1C12" w:rsidRDefault="00617421" w:rsidP="000701C2">
            <w:pPr>
              <w:pStyle w:val="Rowcolumntitles"/>
            </w:pPr>
            <w:r w:rsidRPr="004B1C12">
              <w:t>Marginal</w:t>
            </w:r>
          </w:p>
        </w:tc>
        <w:tc>
          <w:tcPr>
            <w:tcW w:w="343" w:type="dxa"/>
            <w:shd w:val="clear" w:color="auto" w:fill="D99594" w:themeFill="accent2" w:themeFillTint="99"/>
            <w:textDirection w:val="btLr"/>
          </w:tcPr>
          <w:p w:rsidR="00617421" w:rsidRPr="004B1C12" w:rsidRDefault="00617421" w:rsidP="000701C2">
            <w:pPr>
              <w:pStyle w:val="Rowcolumntitles"/>
            </w:pPr>
            <w:r w:rsidRPr="004B1C12">
              <w:t>Major</w:t>
            </w:r>
          </w:p>
        </w:tc>
        <w:tc>
          <w:tcPr>
            <w:tcW w:w="435" w:type="dxa"/>
            <w:shd w:val="clear" w:color="auto" w:fill="D99594" w:themeFill="accent2" w:themeFillTint="99"/>
            <w:textDirection w:val="btLr"/>
          </w:tcPr>
          <w:p w:rsidR="00617421" w:rsidRPr="004B1C12" w:rsidRDefault="00617421" w:rsidP="000701C2">
            <w:pPr>
              <w:pStyle w:val="Rowcolumntitles"/>
            </w:pPr>
            <w:r w:rsidRPr="004B1C12">
              <w:t>Outstanding</w:t>
            </w:r>
          </w:p>
        </w:tc>
      </w:tr>
      <w:tr w:rsidR="00617421" w:rsidRPr="004B1C12" w:rsidTr="00505B0A">
        <w:trPr>
          <w:trHeight w:val="246"/>
        </w:trPr>
        <w:tc>
          <w:tcPr>
            <w:tcW w:w="1628" w:type="dxa"/>
            <w:vMerge w:val="restart"/>
            <w:shd w:val="clear" w:color="auto" w:fill="000000" w:themeFill="text1"/>
          </w:tcPr>
          <w:p w:rsidR="00617421" w:rsidRPr="004B1C12" w:rsidRDefault="00617421" w:rsidP="000701C2">
            <w:pPr>
              <w:pStyle w:val="Rowcolumntitles"/>
              <w:rPr>
                <w:color w:val="FFFFFF" w:themeColor="background1"/>
              </w:rPr>
            </w:pPr>
            <w:r w:rsidRPr="004B1C12">
              <w:rPr>
                <w:color w:val="FFFFFF" w:themeColor="background1"/>
              </w:rPr>
              <w:t xml:space="preserve">1. </w:t>
            </w:r>
            <w:r w:rsidRPr="006E7C15">
              <w:rPr>
                <w:color w:val="FFFFFF" w:themeColor="background1"/>
              </w:rPr>
              <w:t>Adapting the Public Service Hall to the needs of people with disabilities</w:t>
            </w:r>
          </w:p>
          <w:p w:rsidR="00617421" w:rsidRPr="004B1C12" w:rsidRDefault="00617421" w:rsidP="000701C2">
            <w:pPr>
              <w:pStyle w:val="Rowcolumntitles"/>
              <w:rPr>
                <w:color w:val="FFFFFF" w:themeColor="background1"/>
              </w:rPr>
            </w:pPr>
          </w:p>
        </w:tc>
        <w:tc>
          <w:tcPr>
            <w:tcW w:w="453" w:type="dxa"/>
            <w:vMerge w:val="restart"/>
            <w:shd w:val="clear" w:color="auto" w:fill="D6E3BC" w:themeFill="accent3" w:themeFillTint="66"/>
          </w:tcPr>
          <w:p w:rsidR="00617421" w:rsidRPr="004B1C12" w:rsidRDefault="00617421" w:rsidP="000701C2">
            <w:pPr>
              <w:pStyle w:val="Rowcolumntitles"/>
            </w:pPr>
          </w:p>
        </w:tc>
        <w:tc>
          <w:tcPr>
            <w:tcW w:w="456" w:type="dxa"/>
            <w:vMerge w:val="restart"/>
            <w:shd w:val="clear" w:color="auto" w:fill="D6E3BC" w:themeFill="accent3" w:themeFillTint="66"/>
          </w:tcPr>
          <w:p w:rsidR="00617421" w:rsidRPr="004B1C12" w:rsidRDefault="00617421" w:rsidP="000701C2">
            <w:pPr>
              <w:pStyle w:val="Rowcolumntitles"/>
            </w:pPr>
          </w:p>
        </w:tc>
        <w:tc>
          <w:tcPr>
            <w:tcW w:w="360" w:type="dxa"/>
            <w:vMerge w:val="restart"/>
            <w:shd w:val="clear" w:color="auto" w:fill="D6E3BC" w:themeFill="accent3" w:themeFillTint="66"/>
          </w:tcPr>
          <w:p w:rsidR="00617421" w:rsidRPr="004B1C12" w:rsidRDefault="00617421" w:rsidP="000701C2">
            <w:pPr>
              <w:pStyle w:val="Rowcolumntitles"/>
            </w:pPr>
          </w:p>
        </w:tc>
        <w:tc>
          <w:tcPr>
            <w:tcW w:w="361"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2388" w:type="dxa"/>
            <w:gridSpan w:val="7"/>
            <w:vMerge w:val="restart"/>
            <w:shd w:val="clear" w:color="auto" w:fill="FBD4B4" w:themeFill="accent6" w:themeFillTint="66"/>
            <w:vAlign w:val="center"/>
          </w:tcPr>
          <w:p w:rsidR="00617421" w:rsidRPr="004B1C12" w:rsidRDefault="00617421" w:rsidP="00505B0A">
            <w:pPr>
              <w:pStyle w:val="Rowcolumntitles"/>
              <w:jc w:val="center"/>
            </w:pPr>
            <w:r>
              <w:t>Unclear</w:t>
            </w:r>
          </w:p>
        </w:tc>
        <w:tc>
          <w:tcPr>
            <w:tcW w:w="372" w:type="dxa"/>
            <w:vMerge w:val="restart"/>
            <w:shd w:val="clear" w:color="auto" w:fill="CCC0D9" w:themeFill="accent4" w:themeFillTint="66"/>
          </w:tcPr>
          <w:p w:rsidR="00617421" w:rsidRPr="004B1C12" w:rsidRDefault="00617421" w:rsidP="000701C2">
            <w:pPr>
              <w:pStyle w:val="Rowcolumntitles"/>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color w:val="BFBFBF" w:themeColor="background1" w:themeShade="BF"/>
              </w:rPr>
            </w:pPr>
            <w:r w:rsidRPr="0010229D">
              <w:rPr>
                <w:rFonts w:ascii="MS Mincho" w:eastAsia="MS Mincho" w:hAnsi="MS Mincho" w:cs="MS Mincho"/>
                <w:sz w:val="20"/>
              </w:rPr>
              <w:t>✔</w:t>
            </w:r>
          </w:p>
        </w:tc>
        <w:tc>
          <w:tcPr>
            <w:tcW w:w="372" w:type="dxa"/>
            <w:vMerge w:val="restart"/>
            <w:shd w:val="clear" w:color="auto" w:fill="CCC0D9" w:themeFill="accent4" w:themeFillTint="66"/>
          </w:tcPr>
          <w:p w:rsidR="00617421" w:rsidRPr="004B1C12" w:rsidRDefault="00617421" w:rsidP="000701C2">
            <w:pPr>
              <w:pStyle w:val="Rowcolumntitles"/>
            </w:pPr>
          </w:p>
        </w:tc>
        <w:tc>
          <w:tcPr>
            <w:tcW w:w="373" w:type="dxa"/>
            <w:vMerge w:val="restart"/>
            <w:shd w:val="clear" w:color="auto" w:fill="CCC0D9" w:themeFill="accent4" w:themeFillTint="66"/>
          </w:tcPr>
          <w:p w:rsidR="00617421" w:rsidRPr="004B1C12" w:rsidRDefault="00617421" w:rsidP="000701C2">
            <w:pPr>
              <w:pStyle w:val="Rowcolumntitles"/>
            </w:pPr>
          </w:p>
        </w:tc>
        <w:tc>
          <w:tcPr>
            <w:tcW w:w="573" w:type="dxa"/>
            <w:shd w:val="clear" w:color="auto" w:fill="B8CCE4" w:themeFill="accent1" w:themeFillTint="66"/>
          </w:tcPr>
          <w:p w:rsidR="00617421" w:rsidRPr="004B1C12" w:rsidRDefault="00617421" w:rsidP="000701C2">
            <w:pPr>
              <w:pStyle w:val="Rowcolumntitles"/>
            </w:pPr>
          </w:p>
        </w:tc>
        <w:tc>
          <w:tcPr>
            <w:tcW w:w="630" w:type="dxa"/>
            <w:shd w:val="clear" w:color="auto" w:fill="B8CCE4" w:themeFill="accent1" w:themeFillTint="66"/>
          </w:tcPr>
          <w:p w:rsidR="00617421" w:rsidRPr="004B1C12" w:rsidRDefault="00617421" w:rsidP="000701C2">
            <w:pPr>
              <w:pStyle w:val="Rowcolumntitles"/>
            </w:pPr>
          </w:p>
        </w:tc>
        <w:tc>
          <w:tcPr>
            <w:tcW w:w="450" w:type="dxa"/>
            <w:gridSpan w:val="2"/>
            <w:shd w:val="clear" w:color="auto" w:fill="B8CCE4" w:themeFill="accent1" w:themeFillTint="66"/>
          </w:tcPr>
          <w:p w:rsidR="00617421" w:rsidRPr="004B1C12" w:rsidRDefault="00617421" w:rsidP="000701C2">
            <w:pPr>
              <w:pStyle w:val="Rowcolumntitles"/>
            </w:pPr>
          </w:p>
        </w:tc>
        <w:tc>
          <w:tcPr>
            <w:tcW w:w="593" w:type="dxa"/>
            <w:shd w:val="clear" w:color="auto" w:fill="B8CCE4" w:themeFill="accent1" w:themeFillTint="66"/>
          </w:tcPr>
          <w:p w:rsidR="00617421" w:rsidRPr="004B1C12" w:rsidRDefault="00617421" w:rsidP="000701C2">
            <w:pPr>
              <w:pStyle w:val="Rowcolumntitles"/>
            </w:pPr>
            <w:r w:rsidRPr="0010229D">
              <w:rPr>
                <w:rFonts w:ascii="MS Mincho" w:eastAsia="MS Mincho" w:hAnsi="MS Mincho" w:cs="MS Mincho"/>
                <w:sz w:val="20"/>
              </w:rPr>
              <w:t>✔</w:t>
            </w:r>
          </w:p>
        </w:tc>
        <w:tc>
          <w:tcPr>
            <w:tcW w:w="406" w:type="dxa"/>
            <w:vMerge w:val="restart"/>
            <w:shd w:val="clear" w:color="auto" w:fill="D99594" w:themeFill="accent2" w:themeFillTint="99"/>
          </w:tcPr>
          <w:p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tcPr>
          <w:p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tcPr>
          <w:p w:rsidR="00617421" w:rsidRPr="004B1C12" w:rsidRDefault="00617421" w:rsidP="000701C2">
            <w:pPr>
              <w:pStyle w:val="Rowcolumntitles"/>
              <w:rPr>
                <w:rFonts w:eastAsia="Times New Roman"/>
              </w:rPr>
            </w:pPr>
          </w:p>
        </w:tc>
        <w:tc>
          <w:tcPr>
            <w:tcW w:w="435" w:type="dxa"/>
            <w:vMerge w:val="restart"/>
            <w:shd w:val="clear" w:color="auto" w:fill="D99594" w:themeFill="accent2" w:themeFillTint="99"/>
          </w:tcPr>
          <w:p w:rsidR="00617421" w:rsidRPr="004B1C12" w:rsidRDefault="00617421" w:rsidP="000701C2">
            <w:pPr>
              <w:pStyle w:val="Rowcolumntitles"/>
              <w:rPr>
                <w:rFonts w:eastAsia="Times New Roman"/>
              </w:rPr>
            </w:pPr>
          </w:p>
        </w:tc>
      </w:tr>
      <w:tr w:rsidR="00617421" w:rsidRPr="004B1C12" w:rsidTr="00505B0A">
        <w:trPr>
          <w:trHeight w:val="136"/>
        </w:trPr>
        <w:tc>
          <w:tcPr>
            <w:tcW w:w="1628" w:type="dxa"/>
            <w:vMerge/>
            <w:shd w:val="clear" w:color="auto" w:fill="000000" w:themeFill="text1"/>
          </w:tcPr>
          <w:p w:rsidR="00617421" w:rsidRPr="004B1C12" w:rsidRDefault="00617421" w:rsidP="000701C2">
            <w:pPr>
              <w:pStyle w:val="Rowcolumntitles"/>
              <w:rPr>
                <w:color w:val="FFFFFF" w:themeColor="background1"/>
              </w:rPr>
            </w:pPr>
          </w:p>
        </w:tc>
        <w:tc>
          <w:tcPr>
            <w:tcW w:w="453" w:type="dxa"/>
            <w:vMerge/>
            <w:shd w:val="clear" w:color="auto" w:fill="D6E3BC" w:themeFill="accent3" w:themeFillTint="66"/>
          </w:tcPr>
          <w:p w:rsidR="00617421" w:rsidRPr="004B1C12" w:rsidRDefault="00617421" w:rsidP="000701C2">
            <w:pPr>
              <w:pStyle w:val="Rowcolumntitles"/>
            </w:pPr>
          </w:p>
        </w:tc>
        <w:tc>
          <w:tcPr>
            <w:tcW w:w="456" w:type="dxa"/>
            <w:vMerge/>
            <w:shd w:val="clear" w:color="auto" w:fill="D6E3BC" w:themeFill="accent3" w:themeFillTint="66"/>
          </w:tcPr>
          <w:p w:rsidR="00617421" w:rsidRPr="004B1C12" w:rsidRDefault="00617421" w:rsidP="000701C2">
            <w:pPr>
              <w:pStyle w:val="Rowcolumntitles"/>
            </w:pPr>
          </w:p>
        </w:tc>
        <w:tc>
          <w:tcPr>
            <w:tcW w:w="360" w:type="dxa"/>
            <w:vMerge/>
            <w:shd w:val="clear" w:color="auto" w:fill="D6E3BC" w:themeFill="accent3" w:themeFillTint="66"/>
          </w:tcPr>
          <w:p w:rsidR="00617421" w:rsidRPr="004B1C12" w:rsidRDefault="00617421" w:rsidP="000701C2">
            <w:pPr>
              <w:pStyle w:val="Rowcolumntitles"/>
              <w:rPr>
                <w:rFonts w:eastAsia="Times New Roman"/>
              </w:rPr>
            </w:pPr>
          </w:p>
        </w:tc>
        <w:tc>
          <w:tcPr>
            <w:tcW w:w="361" w:type="dxa"/>
            <w:vMerge/>
            <w:shd w:val="clear" w:color="auto" w:fill="D6E3BC" w:themeFill="accent3" w:themeFillTint="66"/>
          </w:tcPr>
          <w:p w:rsidR="00617421" w:rsidRPr="004B1C12" w:rsidRDefault="00617421" w:rsidP="000701C2">
            <w:pPr>
              <w:pStyle w:val="Rowcolumntitles"/>
            </w:pPr>
          </w:p>
        </w:tc>
        <w:tc>
          <w:tcPr>
            <w:tcW w:w="2388" w:type="dxa"/>
            <w:gridSpan w:val="7"/>
            <w:vMerge/>
            <w:shd w:val="clear" w:color="auto" w:fill="FBD4B4" w:themeFill="accent6" w:themeFillTint="66"/>
          </w:tcPr>
          <w:p w:rsidR="00617421" w:rsidRPr="004B1C12" w:rsidRDefault="00617421" w:rsidP="000701C2">
            <w:pPr>
              <w:pStyle w:val="Rowcolumntitles"/>
            </w:pPr>
          </w:p>
        </w:tc>
        <w:tc>
          <w:tcPr>
            <w:tcW w:w="372" w:type="dxa"/>
            <w:vMerge/>
            <w:shd w:val="clear" w:color="auto" w:fill="CCC0D9" w:themeFill="accent4" w:themeFillTint="66"/>
          </w:tcPr>
          <w:p w:rsidR="00617421" w:rsidRPr="004B1C12" w:rsidRDefault="00617421" w:rsidP="000701C2">
            <w:pPr>
              <w:pStyle w:val="Rowcolumntitles"/>
            </w:pPr>
          </w:p>
        </w:tc>
        <w:tc>
          <w:tcPr>
            <w:tcW w:w="372" w:type="dxa"/>
            <w:vMerge/>
            <w:shd w:val="clear" w:color="auto" w:fill="CCC0D9" w:themeFill="accent4" w:themeFillTint="66"/>
          </w:tcPr>
          <w:p w:rsidR="00617421" w:rsidRPr="004B1C12" w:rsidRDefault="00617421" w:rsidP="000701C2">
            <w:pPr>
              <w:pStyle w:val="Rowcolumntitles"/>
              <w:rPr>
                <w:rFonts w:eastAsia="Times New Roman"/>
              </w:rPr>
            </w:pPr>
          </w:p>
        </w:tc>
        <w:tc>
          <w:tcPr>
            <w:tcW w:w="372" w:type="dxa"/>
            <w:vMerge/>
            <w:shd w:val="clear" w:color="auto" w:fill="CCC0D9" w:themeFill="accent4" w:themeFillTint="66"/>
          </w:tcPr>
          <w:p w:rsidR="00617421" w:rsidRPr="004B1C12" w:rsidRDefault="00617421" w:rsidP="000701C2">
            <w:pPr>
              <w:pStyle w:val="Rowcolumntitles"/>
            </w:pPr>
          </w:p>
        </w:tc>
        <w:tc>
          <w:tcPr>
            <w:tcW w:w="373" w:type="dxa"/>
            <w:vMerge/>
            <w:shd w:val="clear" w:color="auto" w:fill="CCC0D9" w:themeFill="accent4" w:themeFillTint="66"/>
          </w:tcPr>
          <w:p w:rsidR="00617421" w:rsidRPr="004B1C12" w:rsidRDefault="00617421" w:rsidP="000701C2">
            <w:pPr>
              <w:pStyle w:val="Rowcolumntitles"/>
            </w:pPr>
          </w:p>
        </w:tc>
        <w:tc>
          <w:tcPr>
            <w:tcW w:w="573" w:type="dxa"/>
            <w:shd w:val="clear" w:color="auto" w:fill="B8CCE4" w:themeFill="accent1" w:themeFillTint="66"/>
          </w:tcPr>
          <w:p w:rsidR="00617421" w:rsidRPr="004B1C12" w:rsidRDefault="00617421" w:rsidP="000701C2">
            <w:pPr>
              <w:pStyle w:val="Rowcolumntitles"/>
            </w:pPr>
          </w:p>
        </w:tc>
        <w:tc>
          <w:tcPr>
            <w:tcW w:w="630" w:type="dxa"/>
            <w:shd w:val="clear" w:color="auto" w:fill="B8CCE4" w:themeFill="accent1" w:themeFillTint="66"/>
          </w:tcPr>
          <w:p w:rsidR="00617421" w:rsidRPr="004B1C12" w:rsidRDefault="00617421" w:rsidP="000701C2">
            <w:pPr>
              <w:pStyle w:val="Rowcolumntitles"/>
            </w:pPr>
          </w:p>
        </w:tc>
        <w:tc>
          <w:tcPr>
            <w:tcW w:w="450" w:type="dxa"/>
            <w:gridSpan w:val="2"/>
            <w:shd w:val="clear" w:color="auto" w:fill="B8CCE4" w:themeFill="accent1" w:themeFillTint="66"/>
          </w:tcPr>
          <w:p w:rsidR="00617421" w:rsidRPr="004B1C12" w:rsidRDefault="00617421" w:rsidP="000701C2">
            <w:pPr>
              <w:pStyle w:val="Rowcolumntitles"/>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06"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435" w:type="dxa"/>
            <w:vMerge/>
            <w:shd w:val="clear" w:color="auto" w:fill="D99594" w:themeFill="accent2" w:themeFillTint="99"/>
          </w:tcPr>
          <w:p w:rsidR="00617421" w:rsidRPr="004B1C12" w:rsidRDefault="00617421" w:rsidP="000701C2">
            <w:pPr>
              <w:pStyle w:val="Rowcolumntitles"/>
              <w:rPr>
                <w:rFonts w:eastAsia="Times New Roman"/>
              </w:rPr>
            </w:pPr>
          </w:p>
        </w:tc>
      </w:tr>
      <w:tr w:rsidR="00617421" w:rsidRPr="004B1C12" w:rsidTr="00505B0A">
        <w:trPr>
          <w:trHeight w:val="328"/>
        </w:trPr>
        <w:tc>
          <w:tcPr>
            <w:tcW w:w="1628" w:type="dxa"/>
            <w:vMerge w:val="restart"/>
            <w:shd w:val="clear" w:color="auto" w:fill="000000" w:themeFill="text1"/>
          </w:tcPr>
          <w:p w:rsidR="00617421" w:rsidRPr="004B1C12" w:rsidRDefault="00617421" w:rsidP="000701C2">
            <w:pPr>
              <w:pStyle w:val="Rowcolumntitles"/>
              <w:rPr>
                <w:color w:val="FFFFFF" w:themeColor="background1"/>
              </w:rPr>
            </w:pPr>
            <w:r w:rsidRPr="004B1C12">
              <w:rPr>
                <w:color w:val="FFFFFF" w:themeColor="background1"/>
              </w:rPr>
              <w:t xml:space="preserve">2. </w:t>
            </w:r>
            <w:r w:rsidRPr="00AA6C7A">
              <w:rPr>
                <w:color w:val="FFFFFF" w:themeColor="background1"/>
              </w:rPr>
              <w:t xml:space="preserve">Launch of the unified </w:t>
            </w:r>
            <w:r w:rsidRPr="00AA6C7A">
              <w:rPr>
                <w:color w:val="FFFFFF" w:themeColor="background1"/>
              </w:rPr>
              <w:lastRenderedPageBreak/>
              <w:t>healthcare system information portal</w:t>
            </w:r>
          </w:p>
        </w:tc>
        <w:tc>
          <w:tcPr>
            <w:tcW w:w="453" w:type="dxa"/>
            <w:vMerge w:val="restart"/>
            <w:shd w:val="clear" w:color="auto" w:fill="D6E3BC" w:themeFill="accent3" w:themeFillTint="66"/>
          </w:tcPr>
          <w:p w:rsidR="00617421" w:rsidRPr="004B1C12" w:rsidRDefault="00617421" w:rsidP="000701C2">
            <w:pPr>
              <w:pStyle w:val="Rowcolumntitles"/>
            </w:pPr>
          </w:p>
        </w:tc>
        <w:tc>
          <w:tcPr>
            <w:tcW w:w="456" w:type="dxa"/>
            <w:vMerge w:val="restart"/>
            <w:shd w:val="clear" w:color="auto" w:fill="D6E3BC" w:themeFill="accent3" w:themeFillTint="66"/>
          </w:tcPr>
          <w:p w:rsidR="00617421" w:rsidRPr="004B1C12" w:rsidRDefault="00617421" w:rsidP="000701C2">
            <w:pPr>
              <w:pStyle w:val="Rowcolumntitles"/>
              <w:rPr>
                <w:rFonts w:eastAsia="Times New Roman"/>
              </w:rPr>
            </w:pPr>
          </w:p>
        </w:tc>
        <w:tc>
          <w:tcPr>
            <w:tcW w:w="360" w:type="dxa"/>
            <w:vMerge w:val="restart"/>
            <w:shd w:val="clear" w:color="auto" w:fill="D6E3BC" w:themeFill="accent3" w:themeFillTint="66"/>
          </w:tcPr>
          <w:p w:rsidR="00617421" w:rsidRPr="004B1C12" w:rsidRDefault="00617421" w:rsidP="000701C2">
            <w:pPr>
              <w:pStyle w:val="Rowcolumntitles"/>
            </w:pPr>
          </w:p>
        </w:tc>
        <w:tc>
          <w:tcPr>
            <w:tcW w:w="361"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2388" w:type="dxa"/>
            <w:gridSpan w:val="7"/>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commentRangeStart w:id="3"/>
            <w:r>
              <w:rPr>
                <w:rFonts w:eastAsia="Times New Roman"/>
              </w:rPr>
              <w:t>Unclear</w:t>
            </w:r>
            <w:commentRangeEnd w:id="3"/>
            <w:r w:rsidR="00846D2A">
              <w:rPr>
                <w:rStyle w:val="CommentReference"/>
                <w:color w:val="222222"/>
              </w:rPr>
              <w:commentReference w:id="3"/>
            </w:r>
          </w:p>
        </w:tc>
        <w:tc>
          <w:tcPr>
            <w:tcW w:w="372" w:type="dxa"/>
            <w:vMerge w:val="restart"/>
            <w:shd w:val="clear" w:color="auto" w:fill="CCC0D9" w:themeFill="accent4" w:themeFillTint="66"/>
          </w:tcPr>
          <w:p w:rsidR="00617421" w:rsidRPr="004B1C12" w:rsidRDefault="00617421" w:rsidP="000701C2">
            <w:pPr>
              <w:pStyle w:val="Rowcolumntitles"/>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tcPr>
          <w:p w:rsidR="00617421" w:rsidRPr="004B1C12" w:rsidRDefault="00617421" w:rsidP="000701C2">
            <w:pPr>
              <w:pStyle w:val="Rowcolumntitles"/>
            </w:pPr>
          </w:p>
        </w:tc>
        <w:tc>
          <w:tcPr>
            <w:tcW w:w="373" w:type="dxa"/>
            <w:vMerge w:val="restart"/>
            <w:shd w:val="clear" w:color="auto" w:fill="CCC0D9" w:themeFill="accent4" w:themeFillTint="66"/>
          </w:tcPr>
          <w:p w:rsidR="00617421" w:rsidRPr="004B1C12" w:rsidRDefault="00617421" w:rsidP="000701C2">
            <w:pPr>
              <w:pStyle w:val="Rowcolumntitles"/>
            </w:pPr>
          </w:p>
        </w:tc>
        <w:tc>
          <w:tcPr>
            <w:tcW w:w="573" w:type="dxa"/>
            <w:shd w:val="clear" w:color="auto" w:fill="B8CCE4" w:themeFill="accent1" w:themeFillTint="66"/>
          </w:tcPr>
          <w:p w:rsidR="00617421" w:rsidRPr="004B1C12" w:rsidRDefault="00617421" w:rsidP="000701C2">
            <w:pPr>
              <w:pStyle w:val="Rowcolumntitles"/>
              <w:rPr>
                <w:highlight w:val="yellow"/>
              </w:rPr>
            </w:pPr>
          </w:p>
        </w:tc>
        <w:tc>
          <w:tcPr>
            <w:tcW w:w="630" w:type="dxa"/>
            <w:shd w:val="clear" w:color="auto" w:fill="B8CCE4" w:themeFill="accent1" w:themeFillTint="66"/>
            <w:vAlign w:val="center"/>
          </w:tcPr>
          <w:p w:rsidR="00617421" w:rsidRPr="004B1C12" w:rsidRDefault="00617421" w:rsidP="00505B0A">
            <w:pPr>
              <w:pStyle w:val="Rowcolumntitles"/>
              <w:jc w:val="center"/>
              <w:rPr>
                <w:highlight w:val="yellow"/>
              </w:rPr>
            </w:pPr>
            <w:r w:rsidRPr="0010229D">
              <w:rPr>
                <w:rFonts w:ascii="MS Mincho" w:eastAsia="MS Mincho" w:hAnsi="MS Mincho" w:cs="MS Mincho"/>
                <w:sz w:val="20"/>
              </w:rPr>
              <w:t>✔</w:t>
            </w:r>
          </w:p>
        </w:tc>
        <w:tc>
          <w:tcPr>
            <w:tcW w:w="450" w:type="dxa"/>
            <w:gridSpan w:val="2"/>
            <w:shd w:val="clear" w:color="auto" w:fill="B8CCE4" w:themeFill="accent1" w:themeFillTint="66"/>
          </w:tcPr>
          <w:p w:rsidR="00617421" w:rsidRPr="004B1C12" w:rsidRDefault="00617421" w:rsidP="000701C2">
            <w:pPr>
              <w:pStyle w:val="Rowcolumntitles"/>
              <w:rPr>
                <w:highlight w:val="yellow"/>
              </w:rPr>
            </w:pPr>
          </w:p>
        </w:tc>
        <w:tc>
          <w:tcPr>
            <w:tcW w:w="593" w:type="dxa"/>
            <w:shd w:val="clear" w:color="auto" w:fill="B8CCE4" w:themeFill="accent1" w:themeFillTint="66"/>
          </w:tcPr>
          <w:p w:rsidR="00617421" w:rsidRPr="004B1C12" w:rsidRDefault="00617421" w:rsidP="000701C2">
            <w:pPr>
              <w:pStyle w:val="Rowcolumntitles"/>
              <w:rPr>
                <w:highlight w:val="yellow"/>
              </w:rPr>
            </w:pPr>
          </w:p>
        </w:tc>
        <w:tc>
          <w:tcPr>
            <w:tcW w:w="406" w:type="dxa"/>
            <w:vMerge w:val="restart"/>
            <w:shd w:val="clear" w:color="auto" w:fill="D99594" w:themeFill="accent2" w:themeFillTint="99"/>
          </w:tcPr>
          <w:p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tcPr>
          <w:p w:rsidR="00957C1A" w:rsidRDefault="00957C1A" w:rsidP="000701C2">
            <w:pPr>
              <w:pStyle w:val="Rowcolumntitles"/>
              <w:rPr>
                <w:rFonts w:ascii="MS Mincho" w:eastAsia="MS Mincho" w:hAnsi="MS Mincho" w:cs="MS Mincho"/>
                <w:sz w:val="20"/>
              </w:rPr>
            </w:pPr>
          </w:p>
          <w:p w:rsidR="00957C1A" w:rsidRDefault="00957C1A" w:rsidP="000701C2">
            <w:pPr>
              <w:pStyle w:val="Rowcolumntitles"/>
              <w:rPr>
                <w:rFonts w:ascii="MS Mincho" w:eastAsia="MS Mincho" w:hAnsi="MS Mincho" w:cs="MS Mincho"/>
                <w:sz w:val="20"/>
              </w:rPr>
            </w:pPr>
          </w:p>
          <w:p w:rsidR="00617421" w:rsidRPr="004B1C12" w:rsidRDefault="00957C1A" w:rsidP="000701C2">
            <w:pPr>
              <w:pStyle w:val="Rowcolumntitles"/>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tcPr>
          <w:p w:rsidR="00617421" w:rsidRPr="004B1C12" w:rsidRDefault="00617421" w:rsidP="000701C2">
            <w:pPr>
              <w:pStyle w:val="Rowcolumntitles"/>
              <w:rPr>
                <w:rFonts w:eastAsia="Times New Roman"/>
              </w:rPr>
            </w:pPr>
          </w:p>
        </w:tc>
        <w:tc>
          <w:tcPr>
            <w:tcW w:w="435" w:type="dxa"/>
            <w:vMerge w:val="restart"/>
            <w:shd w:val="clear" w:color="auto" w:fill="D99594" w:themeFill="accent2" w:themeFillTint="99"/>
          </w:tcPr>
          <w:p w:rsidR="00617421" w:rsidRPr="004B1C12" w:rsidRDefault="00617421" w:rsidP="000701C2">
            <w:pPr>
              <w:pStyle w:val="Rowcolumntitles"/>
              <w:rPr>
                <w:rFonts w:eastAsia="Times New Roman"/>
              </w:rPr>
            </w:pPr>
          </w:p>
        </w:tc>
      </w:tr>
      <w:tr w:rsidR="00617421" w:rsidRPr="004B1C12" w:rsidTr="00505B0A">
        <w:trPr>
          <w:trHeight w:val="262"/>
        </w:trPr>
        <w:tc>
          <w:tcPr>
            <w:tcW w:w="1628" w:type="dxa"/>
            <w:vMerge/>
            <w:shd w:val="clear" w:color="auto" w:fill="000000" w:themeFill="text1"/>
          </w:tcPr>
          <w:p w:rsidR="00617421" w:rsidRPr="004B1C12" w:rsidRDefault="00617421" w:rsidP="000701C2">
            <w:pPr>
              <w:pStyle w:val="Rowcolumntitles"/>
              <w:rPr>
                <w:color w:val="FFFFFF" w:themeColor="background1"/>
              </w:rPr>
            </w:pPr>
          </w:p>
        </w:tc>
        <w:tc>
          <w:tcPr>
            <w:tcW w:w="453" w:type="dxa"/>
            <w:vMerge/>
            <w:shd w:val="clear" w:color="auto" w:fill="D6E3BC" w:themeFill="accent3" w:themeFillTint="66"/>
          </w:tcPr>
          <w:p w:rsidR="00617421" w:rsidRPr="004B1C12" w:rsidRDefault="00617421" w:rsidP="000701C2">
            <w:pPr>
              <w:pStyle w:val="Rowcolumntitles"/>
            </w:pPr>
          </w:p>
        </w:tc>
        <w:tc>
          <w:tcPr>
            <w:tcW w:w="456" w:type="dxa"/>
            <w:vMerge/>
            <w:shd w:val="clear" w:color="auto" w:fill="D6E3BC" w:themeFill="accent3" w:themeFillTint="66"/>
          </w:tcPr>
          <w:p w:rsidR="00617421" w:rsidRPr="004B1C12" w:rsidRDefault="00617421" w:rsidP="000701C2">
            <w:pPr>
              <w:pStyle w:val="Rowcolumntitles"/>
              <w:rPr>
                <w:rFonts w:eastAsia="Times New Roman"/>
              </w:rPr>
            </w:pPr>
          </w:p>
        </w:tc>
        <w:tc>
          <w:tcPr>
            <w:tcW w:w="360" w:type="dxa"/>
            <w:vMerge/>
            <w:shd w:val="clear" w:color="auto" w:fill="D6E3BC" w:themeFill="accent3" w:themeFillTint="66"/>
          </w:tcPr>
          <w:p w:rsidR="00617421" w:rsidRPr="004B1C12" w:rsidRDefault="00617421" w:rsidP="000701C2">
            <w:pPr>
              <w:pStyle w:val="Rowcolumntitles"/>
            </w:pPr>
          </w:p>
        </w:tc>
        <w:tc>
          <w:tcPr>
            <w:tcW w:w="361" w:type="dxa"/>
            <w:vMerge/>
            <w:shd w:val="clear" w:color="auto" w:fill="D6E3BC" w:themeFill="accent3" w:themeFillTint="66"/>
          </w:tcPr>
          <w:p w:rsidR="00617421" w:rsidRPr="004B1C12" w:rsidRDefault="00617421" w:rsidP="000701C2">
            <w:pPr>
              <w:pStyle w:val="Rowcolumntitles"/>
              <w:rPr>
                <w:rFonts w:eastAsia="Times New Roman"/>
              </w:rPr>
            </w:pPr>
          </w:p>
        </w:tc>
        <w:tc>
          <w:tcPr>
            <w:tcW w:w="2388" w:type="dxa"/>
            <w:gridSpan w:val="7"/>
            <w:vMerge/>
            <w:shd w:val="clear" w:color="auto" w:fill="FBD4B4" w:themeFill="accent6" w:themeFillTint="66"/>
          </w:tcPr>
          <w:p w:rsidR="00617421" w:rsidRPr="004B1C12" w:rsidRDefault="00617421" w:rsidP="000701C2">
            <w:pPr>
              <w:pStyle w:val="Rowcolumntitles"/>
              <w:rPr>
                <w:rFonts w:eastAsia="Times New Roman"/>
              </w:rPr>
            </w:pPr>
          </w:p>
        </w:tc>
        <w:tc>
          <w:tcPr>
            <w:tcW w:w="372" w:type="dxa"/>
            <w:vMerge/>
            <w:shd w:val="clear" w:color="auto" w:fill="CCC0D9" w:themeFill="accent4" w:themeFillTint="66"/>
          </w:tcPr>
          <w:p w:rsidR="00617421" w:rsidRPr="004B1C12" w:rsidRDefault="00617421" w:rsidP="000701C2">
            <w:pPr>
              <w:pStyle w:val="Rowcolumntitles"/>
            </w:pPr>
          </w:p>
        </w:tc>
        <w:tc>
          <w:tcPr>
            <w:tcW w:w="372" w:type="dxa"/>
            <w:vMerge/>
            <w:shd w:val="clear" w:color="auto" w:fill="CCC0D9" w:themeFill="accent4" w:themeFillTint="66"/>
          </w:tcPr>
          <w:p w:rsidR="00617421" w:rsidRPr="004B1C12" w:rsidRDefault="00617421" w:rsidP="000701C2">
            <w:pPr>
              <w:pStyle w:val="Rowcolumntitles"/>
              <w:rPr>
                <w:rFonts w:eastAsia="Times New Roman"/>
              </w:rPr>
            </w:pPr>
          </w:p>
        </w:tc>
        <w:tc>
          <w:tcPr>
            <w:tcW w:w="372" w:type="dxa"/>
            <w:vMerge/>
            <w:shd w:val="clear" w:color="auto" w:fill="CCC0D9" w:themeFill="accent4" w:themeFillTint="66"/>
          </w:tcPr>
          <w:p w:rsidR="00617421" w:rsidRPr="004B1C12" w:rsidRDefault="00617421" w:rsidP="000701C2">
            <w:pPr>
              <w:pStyle w:val="Rowcolumntitles"/>
            </w:pPr>
          </w:p>
        </w:tc>
        <w:tc>
          <w:tcPr>
            <w:tcW w:w="373" w:type="dxa"/>
            <w:vMerge/>
            <w:shd w:val="clear" w:color="auto" w:fill="CCC0D9" w:themeFill="accent4" w:themeFillTint="66"/>
          </w:tcPr>
          <w:p w:rsidR="00617421" w:rsidRPr="004B1C12" w:rsidRDefault="00617421" w:rsidP="000701C2">
            <w:pPr>
              <w:pStyle w:val="Rowcolumntitles"/>
            </w:pPr>
          </w:p>
        </w:tc>
        <w:tc>
          <w:tcPr>
            <w:tcW w:w="573" w:type="dxa"/>
            <w:shd w:val="clear" w:color="auto" w:fill="B8CCE4" w:themeFill="accent1" w:themeFillTint="66"/>
          </w:tcPr>
          <w:p w:rsidR="00617421" w:rsidRPr="004B1C12" w:rsidRDefault="00617421" w:rsidP="000701C2">
            <w:pPr>
              <w:pStyle w:val="Rowcolumntitles"/>
              <w:rPr>
                <w:highlight w:val="yellow"/>
              </w:rPr>
            </w:pPr>
          </w:p>
        </w:tc>
        <w:tc>
          <w:tcPr>
            <w:tcW w:w="630" w:type="dxa"/>
            <w:shd w:val="clear" w:color="auto" w:fill="B8CCE4" w:themeFill="accent1" w:themeFillTint="66"/>
          </w:tcPr>
          <w:p w:rsidR="00617421" w:rsidRPr="004B1C12" w:rsidRDefault="00957C1A" w:rsidP="000701C2">
            <w:pPr>
              <w:pStyle w:val="Rowcolumntitles"/>
              <w:rPr>
                <w:highlight w:val="yellow"/>
              </w:rPr>
            </w:pPr>
            <w:commentRangeStart w:id="4"/>
            <w:r w:rsidRPr="0010229D">
              <w:rPr>
                <w:rFonts w:ascii="MS Mincho" w:eastAsia="MS Mincho" w:hAnsi="MS Mincho" w:cs="MS Mincho"/>
                <w:sz w:val="20"/>
              </w:rPr>
              <w:t>✔</w:t>
            </w:r>
            <w:commentRangeEnd w:id="4"/>
            <w:r w:rsidR="00993716">
              <w:rPr>
                <w:rStyle w:val="CommentReference"/>
                <w:color w:val="222222"/>
              </w:rPr>
              <w:commentReference w:id="4"/>
            </w:r>
          </w:p>
        </w:tc>
        <w:tc>
          <w:tcPr>
            <w:tcW w:w="450" w:type="dxa"/>
            <w:gridSpan w:val="2"/>
            <w:shd w:val="clear" w:color="auto" w:fill="B8CCE4" w:themeFill="accent1" w:themeFillTint="66"/>
            <w:vAlign w:val="center"/>
          </w:tcPr>
          <w:p w:rsidR="00617421" w:rsidRPr="004B1C12" w:rsidRDefault="00617421" w:rsidP="00505B0A">
            <w:pPr>
              <w:pStyle w:val="Rowcolumntitles"/>
              <w:jc w:val="center"/>
              <w:rPr>
                <w:highlight w:val="yellow"/>
              </w:rPr>
            </w:pPr>
          </w:p>
        </w:tc>
        <w:tc>
          <w:tcPr>
            <w:tcW w:w="593" w:type="dxa"/>
            <w:shd w:val="clear" w:color="auto" w:fill="B8CCE4" w:themeFill="accent1" w:themeFillTint="66"/>
          </w:tcPr>
          <w:p w:rsidR="00617421" w:rsidRPr="004B1C12" w:rsidRDefault="00617421" w:rsidP="000701C2">
            <w:pPr>
              <w:pStyle w:val="Rowcolumntitles"/>
              <w:rPr>
                <w:rFonts w:eastAsia="Times New Roman"/>
              </w:rPr>
            </w:pPr>
          </w:p>
        </w:tc>
        <w:tc>
          <w:tcPr>
            <w:tcW w:w="406"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435" w:type="dxa"/>
            <w:vMerge/>
            <w:shd w:val="clear" w:color="auto" w:fill="D99594" w:themeFill="accent2" w:themeFillTint="99"/>
          </w:tcPr>
          <w:p w:rsidR="00617421" w:rsidRPr="004B1C12" w:rsidRDefault="00617421" w:rsidP="000701C2">
            <w:pPr>
              <w:pStyle w:val="Rowcolumntitles"/>
              <w:rPr>
                <w:rFonts w:eastAsia="Times New Roman"/>
              </w:rPr>
            </w:pPr>
          </w:p>
        </w:tc>
      </w:tr>
      <w:tr w:rsidR="00617421" w:rsidRPr="004B1C12" w:rsidTr="00505B0A">
        <w:trPr>
          <w:trHeight w:val="288"/>
        </w:trPr>
        <w:tc>
          <w:tcPr>
            <w:tcW w:w="1628" w:type="dxa"/>
            <w:vMerge w:val="restart"/>
            <w:shd w:val="clear" w:color="auto" w:fill="000000" w:themeFill="text1"/>
          </w:tcPr>
          <w:p w:rsidR="00617421" w:rsidRPr="004B1C12" w:rsidRDefault="00617421" w:rsidP="000701C2">
            <w:pPr>
              <w:pStyle w:val="Rowcolumntitles"/>
              <w:rPr>
                <w:color w:val="FFFFFF" w:themeColor="background1"/>
              </w:rPr>
            </w:pPr>
            <w:r>
              <w:rPr>
                <w:color w:val="FFFFFF" w:themeColor="background1"/>
              </w:rPr>
              <w:lastRenderedPageBreak/>
              <w:t xml:space="preserve">3. </w:t>
            </w:r>
            <w:r w:rsidRPr="00F00AF2">
              <w:rPr>
                <w:color w:val="FFFFFF" w:themeColor="background1"/>
              </w:rPr>
              <w:t>Introduction of electronic licensing system in the field of natural resources application</w:t>
            </w:r>
          </w:p>
        </w:tc>
        <w:tc>
          <w:tcPr>
            <w:tcW w:w="453" w:type="dxa"/>
            <w:vMerge w:val="restart"/>
            <w:shd w:val="clear" w:color="auto" w:fill="D6E3BC" w:themeFill="accent3" w:themeFillTint="66"/>
          </w:tcPr>
          <w:p w:rsidR="00617421" w:rsidRPr="004B1C12" w:rsidRDefault="00617421" w:rsidP="000701C2">
            <w:pPr>
              <w:pStyle w:val="Rowcolumntitles"/>
            </w:pPr>
          </w:p>
        </w:tc>
        <w:tc>
          <w:tcPr>
            <w:tcW w:w="456" w:type="dxa"/>
            <w:vMerge w:val="restart"/>
            <w:shd w:val="clear" w:color="auto" w:fill="D6E3BC" w:themeFill="accent3" w:themeFillTint="66"/>
          </w:tcPr>
          <w:p w:rsidR="00617421" w:rsidRPr="004B1C12" w:rsidRDefault="00617421" w:rsidP="000701C2">
            <w:pPr>
              <w:pStyle w:val="Rowcolumntitles"/>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tcPr>
          <w:p w:rsidR="00617421" w:rsidRPr="004B1C12" w:rsidRDefault="00617421" w:rsidP="000701C2">
            <w:pPr>
              <w:pStyle w:val="Rowcolumntitles"/>
            </w:pP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tcPr>
          <w:p w:rsidR="00617421" w:rsidRPr="004B1C12" w:rsidRDefault="00617421" w:rsidP="000701C2">
            <w:pPr>
              <w:pStyle w:val="Rowcolumntitles"/>
              <w:rPr>
                <w:rFonts w:eastAsia="Times New Roman"/>
              </w:rPr>
            </w:pPr>
          </w:p>
        </w:tc>
        <w:tc>
          <w:tcPr>
            <w:tcW w:w="391" w:type="dxa"/>
            <w:gridSpan w:val="2"/>
            <w:vMerge w:val="restart"/>
            <w:shd w:val="clear" w:color="auto" w:fill="FBD4B4" w:themeFill="accent6" w:themeFillTint="66"/>
          </w:tcPr>
          <w:p w:rsidR="00617421" w:rsidRPr="004B1C12" w:rsidRDefault="00617421" w:rsidP="000701C2">
            <w:pPr>
              <w:pStyle w:val="Rowcolumntitles"/>
            </w:pPr>
          </w:p>
        </w:tc>
        <w:tc>
          <w:tcPr>
            <w:tcW w:w="1094" w:type="dxa"/>
            <w:gridSpan w:val="2"/>
            <w:vMerge w:val="restart"/>
            <w:shd w:val="clear" w:color="auto" w:fill="FBD4B4" w:themeFill="accent6" w:themeFillTint="66"/>
          </w:tcPr>
          <w:p w:rsidR="00617421" w:rsidRPr="004B1C12" w:rsidRDefault="00617421" w:rsidP="000701C2">
            <w:pPr>
              <w:pStyle w:val="Rowcolumntitles"/>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rsidR="00617421" w:rsidRPr="004B1C12" w:rsidRDefault="00617421" w:rsidP="00505B0A">
            <w:pPr>
              <w:pStyle w:val="Rowcolumntitles"/>
              <w:jc w:val="cente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304"/>
        </w:trPr>
        <w:tc>
          <w:tcPr>
            <w:tcW w:w="1628" w:type="dxa"/>
            <w:vMerge/>
            <w:shd w:val="clear" w:color="auto" w:fill="000000" w:themeFill="text1"/>
          </w:tcPr>
          <w:p w:rsidR="00617421" w:rsidRPr="004B1C12" w:rsidRDefault="00617421" w:rsidP="000701C2">
            <w:pPr>
              <w:pStyle w:val="Rowcolumntitles"/>
              <w:rPr>
                <w:color w:val="FFFFFF" w:themeColor="background1"/>
              </w:rPr>
            </w:pPr>
          </w:p>
        </w:tc>
        <w:tc>
          <w:tcPr>
            <w:tcW w:w="453" w:type="dxa"/>
            <w:vMerge/>
            <w:shd w:val="clear" w:color="auto" w:fill="D6E3BC" w:themeFill="accent3" w:themeFillTint="66"/>
          </w:tcPr>
          <w:p w:rsidR="00617421" w:rsidRPr="004B1C12" w:rsidRDefault="00617421" w:rsidP="000701C2">
            <w:pPr>
              <w:pStyle w:val="Rowcolumntitles"/>
            </w:pPr>
          </w:p>
        </w:tc>
        <w:tc>
          <w:tcPr>
            <w:tcW w:w="456" w:type="dxa"/>
            <w:vMerge/>
            <w:shd w:val="clear" w:color="auto" w:fill="D6E3BC" w:themeFill="accent3" w:themeFillTint="66"/>
          </w:tcPr>
          <w:p w:rsidR="00617421" w:rsidRPr="004B1C12" w:rsidRDefault="00617421" w:rsidP="000701C2">
            <w:pPr>
              <w:pStyle w:val="Rowcolumntitles"/>
              <w:rPr>
                <w:rFonts w:eastAsia="Times New Roman"/>
              </w:rPr>
            </w:pPr>
          </w:p>
        </w:tc>
        <w:tc>
          <w:tcPr>
            <w:tcW w:w="360" w:type="dxa"/>
            <w:vMerge/>
            <w:shd w:val="clear" w:color="auto" w:fill="D6E3BC" w:themeFill="accent3" w:themeFillTint="66"/>
          </w:tcPr>
          <w:p w:rsidR="00617421" w:rsidRPr="004B1C12" w:rsidRDefault="00617421" w:rsidP="000701C2">
            <w:pPr>
              <w:pStyle w:val="Rowcolumntitles"/>
            </w:pPr>
          </w:p>
        </w:tc>
        <w:tc>
          <w:tcPr>
            <w:tcW w:w="361" w:type="dxa"/>
            <w:vMerge/>
            <w:shd w:val="clear" w:color="auto" w:fill="D6E3BC" w:themeFill="accent3" w:themeFillTint="66"/>
          </w:tcPr>
          <w:p w:rsidR="00617421" w:rsidRPr="004B1C12" w:rsidRDefault="00617421" w:rsidP="000701C2">
            <w:pPr>
              <w:pStyle w:val="Rowcolumntitles"/>
            </w:pPr>
          </w:p>
        </w:tc>
        <w:tc>
          <w:tcPr>
            <w:tcW w:w="513" w:type="dxa"/>
            <w:vMerge/>
            <w:shd w:val="clear" w:color="auto" w:fill="FBD4B4" w:themeFill="accent6" w:themeFillTint="66"/>
          </w:tcPr>
          <w:p w:rsidR="00617421" w:rsidRPr="004B1C12" w:rsidRDefault="00617421" w:rsidP="000701C2">
            <w:pPr>
              <w:pStyle w:val="Rowcolumntitles"/>
              <w:rPr>
                <w:rFonts w:eastAsia="Times New Roman"/>
              </w:rPr>
            </w:pPr>
          </w:p>
        </w:tc>
        <w:tc>
          <w:tcPr>
            <w:tcW w:w="390" w:type="dxa"/>
            <w:gridSpan w:val="2"/>
            <w:vMerge/>
            <w:shd w:val="clear" w:color="auto" w:fill="FBD4B4" w:themeFill="accent6" w:themeFillTint="66"/>
          </w:tcPr>
          <w:p w:rsidR="00617421" w:rsidRPr="004B1C12" w:rsidRDefault="00617421" w:rsidP="000701C2">
            <w:pPr>
              <w:pStyle w:val="Rowcolumntitles"/>
              <w:rPr>
                <w:rFonts w:eastAsia="Times New Roman"/>
              </w:rPr>
            </w:pPr>
          </w:p>
        </w:tc>
        <w:tc>
          <w:tcPr>
            <w:tcW w:w="391" w:type="dxa"/>
            <w:gridSpan w:val="2"/>
            <w:vMerge/>
            <w:shd w:val="clear" w:color="auto" w:fill="FBD4B4" w:themeFill="accent6" w:themeFillTint="66"/>
          </w:tcPr>
          <w:p w:rsidR="00617421" w:rsidRPr="004B1C12" w:rsidRDefault="00617421" w:rsidP="000701C2">
            <w:pPr>
              <w:pStyle w:val="Rowcolumntitles"/>
              <w:rPr>
                <w:rFonts w:eastAsia="Times New Roman"/>
              </w:rPr>
            </w:pPr>
          </w:p>
        </w:tc>
        <w:tc>
          <w:tcPr>
            <w:tcW w:w="1094" w:type="dxa"/>
            <w:gridSpan w:val="2"/>
            <w:vMerge/>
            <w:shd w:val="clear" w:color="auto" w:fill="FBD4B4" w:themeFill="accent6" w:themeFillTint="66"/>
          </w:tcPr>
          <w:p w:rsidR="00617421" w:rsidRPr="004B1C12" w:rsidRDefault="00617421" w:rsidP="000701C2">
            <w:pPr>
              <w:pStyle w:val="Rowcolumntitles"/>
              <w:rPr>
                <w:rFonts w:eastAsia="Times New Roman"/>
              </w:rPr>
            </w:pPr>
          </w:p>
        </w:tc>
        <w:tc>
          <w:tcPr>
            <w:tcW w:w="372" w:type="dxa"/>
            <w:vMerge/>
            <w:shd w:val="clear" w:color="auto" w:fill="CCC0D9" w:themeFill="accent4" w:themeFillTint="66"/>
          </w:tcPr>
          <w:p w:rsidR="00617421" w:rsidRPr="004B1C12" w:rsidRDefault="00617421" w:rsidP="000701C2">
            <w:pPr>
              <w:pStyle w:val="Rowcolumntitles"/>
            </w:pPr>
          </w:p>
        </w:tc>
        <w:tc>
          <w:tcPr>
            <w:tcW w:w="372" w:type="dxa"/>
            <w:vMerge/>
            <w:shd w:val="clear" w:color="auto" w:fill="CCC0D9" w:themeFill="accent4" w:themeFillTint="66"/>
          </w:tcPr>
          <w:p w:rsidR="00617421" w:rsidRPr="004B1C12" w:rsidRDefault="00617421" w:rsidP="000701C2">
            <w:pPr>
              <w:pStyle w:val="Rowcolumntitles"/>
              <w:rPr>
                <w:rFonts w:eastAsia="Times New Roman"/>
              </w:rPr>
            </w:pPr>
          </w:p>
        </w:tc>
        <w:tc>
          <w:tcPr>
            <w:tcW w:w="372" w:type="dxa"/>
            <w:vMerge/>
            <w:shd w:val="clear" w:color="auto" w:fill="CCC0D9" w:themeFill="accent4" w:themeFillTint="66"/>
          </w:tcPr>
          <w:p w:rsidR="00617421" w:rsidRPr="004B1C12" w:rsidRDefault="00617421" w:rsidP="000701C2">
            <w:pPr>
              <w:pStyle w:val="Rowcolumntitles"/>
            </w:pPr>
          </w:p>
        </w:tc>
        <w:tc>
          <w:tcPr>
            <w:tcW w:w="373" w:type="dxa"/>
            <w:vMerge/>
            <w:shd w:val="clear" w:color="auto" w:fill="CCC0D9" w:themeFill="accent4" w:themeFillTint="66"/>
          </w:tcPr>
          <w:p w:rsidR="00617421" w:rsidRPr="004B1C12" w:rsidRDefault="00617421" w:rsidP="000701C2">
            <w:pPr>
              <w:pStyle w:val="Rowcolumntitles"/>
              <w:rPr>
                <w:rFonts w:eastAsia="Times New Roman"/>
              </w:rPr>
            </w:pPr>
          </w:p>
        </w:tc>
        <w:tc>
          <w:tcPr>
            <w:tcW w:w="573" w:type="dxa"/>
            <w:shd w:val="clear" w:color="auto" w:fill="B8CCE4" w:themeFill="accent1" w:themeFillTint="66"/>
          </w:tcPr>
          <w:p w:rsidR="00617421" w:rsidRPr="004B1C12" w:rsidRDefault="00617421" w:rsidP="000701C2">
            <w:pPr>
              <w:pStyle w:val="Rowcolumntitles"/>
            </w:pPr>
          </w:p>
        </w:tc>
        <w:tc>
          <w:tcPr>
            <w:tcW w:w="630" w:type="dxa"/>
            <w:shd w:val="clear" w:color="auto" w:fill="B8CCE4" w:themeFill="accent1" w:themeFillTint="66"/>
          </w:tcPr>
          <w:p w:rsidR="00617421" w:rsidRPr="004B1C12" w:rsidRDefault="00617421" w:rsidP="000701C2">
            <w:pPr>
              <w:pStyle w:val="Rowcolumntitles"/>
              <w:rPr>
                <w:rFonts w:eastAsia="Times New Roman"/>
              </w:rPr>
            </w:pPr>
          </w:p>
        </w:tc>
        <w:tc>
          <w:tcPr>
            <w:tcW w:w="450" w:type="dxa"/>
            <w:gridSpan w:val="2"/>
            <w:shd w:val="clear" w:color="auto" w:fill="B8CCE4" w:themeFill="accent1" w:themeFillTint="66"/>
          </w:tcPr>
          <w:p w:rsidR="00617421" w:rsidRPr="004B1C12" w:rsidRDefault="00617421" w:rsidP="000701C2">
            <w:pPr>
              <w:pStyle w:val="Rowcolumntitles"/>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06"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435" w:type="dxa"/>
            <w:vMerge/>
            <w:shd w:val="clear" w:color="auto" w:fill="D99594" w:themeFill="accent2" w:themeFillTint="99"/>
          </w:tcPr>
          <w:p w:rsidR="00617421" w:rsidRPr="004B1C12" w:rsidRDefault="00617421" w:rsidP="000701C2">
            <w:pPr>
              <w:pStyle w:val="Rowcolumntitles"/>
              <w:rPr>
                <w:rFonts w:eastAsia="Times New Roman"/>
              </w:rPr>
            </w:pPr>
          </w:p>
        </w:tc>
      </w:tr>
      <w:tr w:rsidR="00617421" w:rsidRPr="004B1C12" w:rsidTr="00505B0A">
        <w:trPr>
          <w:trHeight w:val="235"/>
        </w:trPr>
        <w:tc>
          <w:tcPr>
            <w:tcW w:w="1628" w:type="dxa"/>
            <w:vMerge w:val="restart"/>
            <w:shd w:val="clear" w:color="auto" w:fill="000000" w:themeFill="text1"/>
          </w:tcPr>
          <w:p w:rsidR="00617421" w:rsidRPr="004B1C12" w:rsidRDefault="00617421" w:rsidP="000701C2">
            <w:pPr>
              <w:pStyle w:val="Rowcolumntitles"/>
              <w:rPr>
                <w:color w:val="FFFFFF" w:themeColor="background1"/>
              </w:rPr>
            </w:pPr>
            <w:r w:rsidRPr="004B1C12">
              <w:rPr>
                <w:color w:val="FFFFFF" w:themeColor="background1"/>
              </w:rPr>
              <w:t xml:space="preserve">4. </w:t>
            </w:r>
            <w:r w:rsidRPr="00050EE2">
              <w:rPr>
                <w:color w:val="FFFFFF" w:themeColor="background1"/>
              </w:rPr>
              <w:t>Spatial (geographic) data web-portal for the energy sector</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421" w:rsidRPr="004B1C12" w:rsidRDefault="000E0A52"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rsidR="00617421" w:rsidRPr="004B1C12" w:rsidRDefault="00617421" w:rsidP="00505B0A">
            <w:pPr>
              <w:pStyle w:val="Rowcolumntitles"/>
              <w:jc w:val="cente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355"/>
        </w:trPr>
        <w:tc>
          <w:tcPr>
            <w:tcW w:w="1628" w:type="dxa"/>
            <w:vMerge/>
            <w:shd w:val="clear" w:color="auto" w:fill="000000" w:themeFill="text1"/>
          </w:tcPr>
          <w:p w:rsidR="00617421" w:rsidRPr="004B1C12" w:rsidRDefault="00617421" w:rsidP="000701C2">
            <w:pPr>
              <w:pStyle w:val="Rowcolumntitles"/>
              <w:rPr>
                <w:color w:val="FFFFFF" w:themeColor="background1"/>
              </w:rPr>
            </w:pPr>
          </w:p>
        </w:tc>
        <w:tc>
          <w:tcPr>
            <w:tcW w:w="453" w:type="dxa"/>
            <w:vMerge/>
            <w:shd w:val="clear" w:color="auto" w:fill="D6E3BC" w:themeFill="accent3" w:themeFillTint="66"/>
          </w:tcPr>
          <w:p w:rsidR="00617421" w:rsidRPr="004B1C12" w:rsidRDefault="00617421" w:rsidP="000701C2">
            <w:pPr>
              <w:pStyle w:val="Rowcolumntitles"/>
            </w:pPr>
          </w:p>
        </w:tc>
        <w:tc>
          <w:tcPr>
            <w:tcW w:w="456" w:type="dxa"/>
            <w:vMerge/>
            <w:shd w:val="clear" w:color="auto" w:fill="D6E3BC" w:themeFill="accent3" w:themeFillTint="66"/>
          </w:tcPr>
          <w:p w:rsidR="00617421" w:rsidRPr="004B1C12" w:rsidRDefault="00617421" w:rsidP="000701C2">
            <w:pPr>
              <w:pStyle w:val="Rowcolumntitles"/>
              <w:rPr>
                <w:rFonts w:eastAsia="Times New Roman"/>
              </w:rPr>
            </w:pPr>
          </w:p>
        </w:tc>
        <w:tc>
          <w:tcPr>
            <w:tcW w:w="360" w:type="dxa"/>
            <w:vMerge/>
            <w:shd w:val="clear" w:color="auto" w:fill="D6E3BC" w:themeFill="accent3" w:themeFillTint="66"/>
          </w:tcPr>
          <w:p w:rsidR="00617421" w:rsidRPr="004B1C12" w:rsidRDefault="00617421" w:rsidP="000701C2">
            <w:pPr>
              <w:pStyle w:val="Rowcolumntitles"/>
            </w:pPr>
          </w:p>
        </w:tc>
        <w:tc>
          <w:tcPr>
            <w:tcW w:w="361" w:type="dxa"/>
            <w:vMerge/>
            <w:shd w:val="clear" w:color="auto" w:fill="D6E3BC" w:themeFill="accent3" w:themeFillTint="66"/>
          </w:tcPr>
          <w:p w:rsidR="00617421" w:rsidRPr="004B1C12" w:rsidRDefault="00617421" w:rsidP="000701C2">
            <w:pPr>
              <w:pStyle w:val="Rowcolumntitles"/>
              <w:rPr>
                <w:rFonts w:eastAsia="Times New Roman"/>
              </w:rPr>
            </w:pPr>
          </w:p>
        </w:tc>
        <w:tc>
          <w:tcPr>
            <w:tcW w:w="513" w:type="dxa"/>
            <w:vMerge/>
            <w:shd w:val="clear" w:color="auto" w:fill="FBD4B4" w:themeFill="accent6" w:themeFillTint="66"/>
          </w:tcPr>
          <w:p w:rsidR="00617421" w:rsidRPr="004B1C12" w:rsidRDefault="00617421" w:rsidP="000701C2">
            <w:pPr>
              <w:pStyle w:val="Rowcolumntitles"/>
              <w:rPr>
                <w:rFonts w:eastAsia="Times New Roman"/>
              </w:rPr>
            </w:pPr>
          </w:p>
        </w:tc>
        <w:tc>
          <w:tcPr>
            <w:tcW w:w="390" w:type="dxa"/>
            <w:gridSpan w:val="2"/>
            <w:vMerge/>
            <w:shd w:val="clear" w:color="auto" w:fill="FBD4B4" w:themeFill="accent6" w:themeFillTint="66"/>
          </w:tcPr>
          <w:p w:rsidR="00617421" w:rsidRPr="004B1C12" w:rsidRDefault="00617421" w:rsidP="000701C2">
            <w:pPr>
              <w:pStyle w:val="Rowcolumntitles"/>
              <w:rPr>
                <w:rFonts w:eastAsia="Times New Roman"/>
              </w:rPr>
            </w:pPr>
          </w:p>
        </w:tc>
        <w:tc>
          <w:tcPr>
            <w:tcW w:w="391" w:type="dxa"/>
            <w:gridSpan w:val="2"/>
            <w:vMerge/>
            <w:shd w:val="clear" w:color="auto" w:fill="FBD4B4" w:themeFill="accent6" w:themeFillTint="66"/>
          </w:tcPr>
          <w:p w:rsidR="00617421" w:rsidRPr="004B1C12" w:rsidRDefault="00617421" w:rsidP="000701C2">
            <w:pPr>
              <w:pStyle w:val="Rowcolumntitles"/>
              <w:rPr>
                <w:rFonts w:eastAsia="Times New Roman"/>
              </w:rPr>
            </w:pPr>
          </w:p>
        </w:tc>
        <w:tc>
          <w:tcPr>
            <w:tcW w:w="1094" w:type="dxa"/>
            <w:gridSpan w:val="2"/>
            <w:vMerge/>
            <w:shd w:val="clear" w:color="auto" w:fill="FBD4B4" w:themeFill="accent6" w:themeFillTint="66"/>
          </w:tcPr>
          <w:p w:rsidR="00617421" w:rsidRPr="004B1C12" w:rsidRDefault="00617421" w:rsidP="000701C2">
            <w:pPr>
              <w:pStyle w:val="Rowcolumntitles"/>
              <w:rPr>
                <w:rFonts w:eastAsia="Times New Roman"/>
              </w:rPr>
            </w:pPr>
          </w:p>
        </w:tc>
        <w:tc>
          <w:tcPr>
            <w:tcW w:w="372" w:type="dxa"/>
            <w:vMerge/>
            <w:shd w:val="clear" w:color="auto" w:fill="CCC0D9" w:themeFill="accent4" w:themeFillTint="66"/>
          </w:tcPr>
          <w:p w:rsidR="00617421" w:rsidRPr="004B1C12" w:rsidRDefault="00617421" w:rsidP="000701C2">
            <w:pPr>
              <w:pStyle w:val="Rowcolumntitles"/>
            </w:pPr>
          </w:p>
        </w:tc>
        <w:tc>
          <w:tcPr>
            <w:tcW w:w="372" w:type="dxa"/>
            <w:vMerge/>
            <w:shd w:val="clear" w:color="auto" w:fill="CCC0D9" w:themeFill="accent4" w:themeFillTint="66"/>
          </w:tcPr>
          <w:p w:rsidR="00617421" w:rsidRPr="004B1C12" w:rsidRDefault="00617421" w:rsidP="000701C2">
            <w:pPr>
              <w:pStyle w:val="Rowcolumntitles"/>
              <w:rPr>
                <w:rFonts w:eastAsia="Times New Roman"/>
              </w:rPr>
            </w:pPr>
          </w:p>
        </w:tc>
        <w:tc>
          <w:tcPr>
            <w:tcW w:w="372" w:type="dxa"/>
            <w:vMerge/>
            <w:shd w:val="clear" w:color="auto" w:fill="CCC0D9" w:themeFill="accent4" w:themeFillTint="66"/>
          </w:tcPr>
          <w:p w:rsidR="00617421" w:rsidRPr="004B1C12" w:rsidRDefault="00617421" w:rsidP="000701C2">
            <w:pPr>
              <w:pStyle w:val="Rowcolumntitles"/>
            </w:pPr>
          </w:p>
        </w:tc>
        <w:tc>
          <w:tcPr>
            <w:tcW w:w="373" w:type="dxa"/>
            <w:vMerge/>
            <w:shd w:val="clear" w:color="auto" w:fill="CCC0D9" w:themeFill="accent4" w:themeFillTint="66"/>
          </w:tcPr>
          <w:p w:rsidR="00617421" w:rsidRPr="004B1C12" w:rsidRDefault="00617421" w:rsidP="000701C2">
            <w:pPr>
              <w:pStyle w:val="Rowcolumntitles"/>
              <w:rPr>
                <w:rFonts w:eastAsia="Times New Roman"/>
              </w:rPr>
            </w:pPr>
          </w:p>
        </w:tc>
        <w:tc>
          <w:tcPr>
            <w:tcW w:w="573" w:type="dxa"/>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435" w:type="dxa"/>
            <w:vMerge/>
            <w:shd w:val="clear" w:color="auto" w:fill="D99594" w:themeFill="accent2" w:themeFillTint="99"/>
          </w:tcPr>
          <w:p w:rsidR="00617421" w:rsidRPr="004B1C12" w:rsidRDefault="00617421" w:rsidP="000701C2">
            <w:pPr>
              <w:pStyle w:val="Rowcolumntitles"/>
              <w:rPr>
                <w:rFonts w:eastAsia="Times New Roman"/>
              </w:rPr>
            </w:pPr>
          </w:p>
        </w:tc>
      </w:tr>
      <w:tr w:rsidR="00617421" w:rsidRPr="004B1C12" w:rsidTr="00505B0A">
        <w:trPr>
          <w:trHeight w:val="246"/>
        </w:trPr>
        <w:tc>
          <w:tcPr>
            <w:tcW w:w="1628" w:type="dxa"/>
            <w:vMerge w:val="restart"/>
            <w:shd w:val="clear" w:color="auto" w:fill="000000" w:themeFill="text1"/>
          </w:tcPr>
          <w:p w:rsidR="00617421" w:rsidRPr="004B1C12" w:rsidRDefault="00617421" w:rsidP="000701C2">
            <w:pPr>
              <w:pStyle w:val="Rowcolumntitles"/>
              <w:rPr>
                <w:color w:val="FFFFFF" w:themeColor="background1"/>
              </w:rPr>
            </w:pPr>
            <w:r w:rsidRPr="00A728F1">
              <w:rPr>
                <w:color w:val="FFFFFF" w:themeColor="background1"/>
              </w:rPr>
              <w:t>5. Innovation ecosystem</w:t>
            </w:r>
          </w:p>
        </w:tc>
        <w:tc>
          <w:tcPr>
            <w:tcW w:w="453" w:type="dxa"/>
            <w:vMerge w:val="restart"/>
            <w:shd w:val="clear" w:color="auto" w:fill="D6E3BC" w:themeFill="accent3" w:themeFillTint="66"/>
          </w:tcPr>
          <w:p w:rsidR="00617421" w:rsidRPr="004B1C12" w:rsidRDefault="00617421" w:rsidP="000701C2">
            <w:pPr>
              <w:pStyle w:val="Rowcolumntitles"/>
            </w:pPr>
          </w:p>
        </w:tc>
        <w:tc>
          <w:tcPr>
            <w:tcW w:w="456" w:type="dxa"/>
            <w:vMerge w:val="restart"/>
            <w:shd w:val="clear" w:color="auto" w:fill="D6E3BC" w:themeFill="accent3" w:themeFillTint="66"/>
          </w:tcPr>
          <w:p w:rsidR="00617421" w:rsidRPr="004B1C12" w:rsidRDefault="00617421" w:rsidP="000701C2">
            <w:pPr>
              <w:pStyle w:val="Rowcolumntitles"/>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tcPr>
          <w:p w:rsidR="00617421" w:rsidRPr="004B1C12" w:rsidRDefault="00617421" w:rsidP="000701C2">
            <w:pPr>
              <w:pStyle w:val="Rowcolumntitles"/>
              <w:rPr>
                <w:rFonts w:eastAsia="Times New Roman"/>
              </w:rPr>
            </w:pPr>
          </w:p>
        </w:tc>
        <w:tc>
          <w:tcPr>
            <w:tcW w:w="2388" w:type="dxa"/>
            <w:gridSpan w:val="7"/>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tcPr>
          <w:p w:rsidR="00617421" w:rsidRPr="004B1C12" w:rsidRDefault="00617421" w:rsidP="000701C2">
            <w:pPr>
              <w:pStyle w:val="Rowcolumntitles"/>
            </w:pPr>
          </w:p>
        </w:tc>
        <w:tc>
          <w:tcPr>
            <w:tcW w:w="372" w:type="dxa"/>
            <w:vMerge w:val="restart"/>
            <w:shd w:val="clear" w:color="auto" w:fill="CCC0D9" w:themeFill="accent4" w:themeFillTint="66"/>
          </w:tcPr>
          <w:p w:rsidR="00617421" w:rsidRPr="004B1C12" w:rsidRDefault="00617421" w:rsidP="000701C2">
            <w:pPr>
              <w:pStyle w:val="Rowcolumntitles"/>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tcPr>
          <w:p w:rsidR="00617421" w:rsidRPr="004B1C12" w:rsidRDefault="00617421" w:rsidP="000701C2">
            <w:pPr>
              <w:pStyle w:val="Rowcolumntitles"/>
              <w:rPr>
                <w:rFonts w:eastAsia="Times New Roman"/>
              </w:rPr>
            </w:pPr>
          </w:p>
        </w:tc>
        <w:tc>
          <w:tcPr>
            <w:tcW w:w="57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630"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tcPr>
          <w:p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tcPr>
          <w:p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tcPr>
          <w:p w:rsidR="00617421" w:rsidRPr="004B1C12" w:rsidRDefault="00617421" w:rsidP="000701C2">
            <w:pPr>
              <w:pStyle w:val="Rowcolumntitles"/>
              <w:rPr>
                <w:rFonts w:eastAsia="Times New Roman"/>
              </w:rPr>
            </w:pPr>
          </w:p>
        </w:tc>
        <w:tc>
          <w:tcPr>
            <w:tcW w:w="435" w:type="dxa"/>
            <w:vMerge w:val="restart"/>
            <w:shd w:val="clear" w:color="auto" w:fill="D99594" w:themeFill="accent2" w:themeFillTint="99"/>
          </w:tcPr>
          <w:p w:rsidR="00617421" w:rsidRPr="004B1C12" w:rsidRDefault="00617421" w:rsidP="000701C2">
            <w:pPr>
              <w:pStyle w:val="Rowcolumntitles"/>
              <w:rPr>
                <w:rFonts w:eastAsia="Times New Roman"/>
              </w:rPr>
            </w:pPr>
          </w:p>
        </w:tc>
      </w:tr>
      <w:tr w:rsidR="00617421" w:rsidRPr="004B1C12" w:rsidTr="00505B0A">
        <w:trPr>
          <w:trHeight w:val="1228"/>
        </w:trPr>
        <w:tc>
          <w:tcPr>
            <w:tcW w:w="1628" w:type="dxa"/>
            <w:vMerge/>
            <w:shd w:val="clear" w:color="auto" w:fill="000000" w:themeFill="text1"/>
          </w:tcPr>
          <w:p w:rsidR="00617421" w:rsidRPr="00A728F1" w:rsidRDefault="00617421" w:rsidP="000701C2">
            <w:pPr>
              <w:pStyle w:val="Rowcolumntitles"/>
              <w:rPr>
                <w:color w:val="FFFFFF" w:themeColor="background1"/>
              </w:rPr>
            </w:pPr>
          </w:p>
        </w:tc>
        <w:tc>
          <w:tcPr>
            <w:tcW w:w="453" w:type="dxa"/>
            <w:vMerge/>
            <w:shd w:val="clear" w:color="auto" w:fill="D6E3BC" w:themeFill="accent3" w:themeFillTint="66"/>
          </w:tcPr>
          <w:p w:rsidR="00617421" w:rsidRPr="004B1C12" w:rsidRDefault="00617421" w:rsidP="000701C2">
            <w:pPr>
              <w:pStyle w:val="Rowcolumntitles"/>
            </w:pPr>
          </w:p>
        </w:tc>
        <w:tc>
          <w:tcPr>
            <w:tcW w:w="456" w:type="dxa"/>
            <w:vMerge/>
            <w:shd w:val="clear" w:color="auto" w:fill="D6E3BC" w:themeFill="accent3" w:themeFillTint="66"/>
          </w:tcPr>
          <w:p w:rsidR="00617421" w:rsidRPr="004B1C12" w:rsidRDefault="00617421" w:rsidP="000701C2">
            <w:pPr>
              <w:pStyle w:val="Rowcolumntitles"/>
              <w:rPr>
                <w:rFonts w:eastAsia="Times New Roman"/>
              </w:rPr>
            </w:pPr>
          </w:p>
        </w:tc>
        <w:tc>
          <w:tcPr>
            <w:tcW w:w="360"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tcPr>
          <w:p w:rsidR="00617421" w:rsidRPr="004B1C12" w:rsidRDefault="00617421" w:rsidP="000701C2">
            <w:pPr>
              <w:pStyle w:val="Rowcolumntitles"/>
              <w:rPr>
                <w:rFonts w:eastAsia="Times New Roman"/>
              </w:rPr>
            </w:pPr>
          </w:p>
        </w:tc>
        <w:tc>
          <w:tcPr>
            <w:tcW w:w="2388" w:type="dxa"/>
            <w:gridSpan w:val="7"/>
            <w:vMerge/>
            <w:shd w:val="clear" w:color="auto" w:fill="FBD4B4" w:themeFill="accent6" w:themeFillTint="66"/>
            <w:vAlign w:val="center"/>
          </w:tcPr>
          <w:p w:rsidR="00617421" w:rsidRDefault="00617421" w:rsidP="00505B0A">
            <w:pPr>
              <w:pStyle w:val="Rowcolumntitles"/>
              <w:jc w:val="center"/>
              <w:rPr>
                <w:rFonts w:eastAsia="Times New Roman"/>
              </w:rPr>
            </w:pPr>
          </w:p>
        </w:tc>
        <w:tc>
          <w:tcPr>
            <w:tcW w:w="372" w:type="dxa"/>
            <w:vMerge/>
            <w:shd w:val="clear" w:color="auto" w:fill="CCC0D9" w:themeFill="accent4" w:themeFillTint="66"/>
          </w:tcPr>
          <w:p w:rsidR="00617421" w:rsidRPr="004B1C12" w:rsidRDefault="00617421" w:rsidP="000701C2">
            <w:pPr>
              <w:pStyle w:val="Rowcolumntitles"/>
            </w:pPr>
          </w:p>
        </w:tc>
        <w:tc>
          <w:tcPr>
            <w:tcW w:w="372" w:type="dxa"/>
            <w:vMerge/>
            <w:shd w:val="clear" w:color="auto" w:fill="CCC0D9" w:themeFill="accent4" w:themeFillTint="66"/>
          </w:tcPr>
          <w:p w:rsidR="00617421" w:rsidRPr="004B1C12" w:rsidRDefault="00617421" w:rsidP="000701C2">
            <w:pPr>
              <w:pStyle w:val="Rowcolumntitles"/>
              <w:rPr>
                <w:rFonts w:eastAsia="Times New Roman"/>
              </w:rPr>
            </w:pPr>
          </w:p>
        </w:tc>
        <w:tc>
          <w:tcPr>
            <w:tcW w:w="372"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tcPr>
          <w:p w:rsidR="00617421" w:rsidRPr="004B1C12" w:rsidRDefault="00617421" w:rsidP="000701C2">
            <w:pPr>
              <w:pStyle w:val="Rowcolumntitles"/>
              <w:rPr>
                <w:rFonts w:eastAsia="Times New Roman"/>
              </w:rPr>
            </w:pPr>
          </w:p>
        </w:tc>
        <w:tc>
          <w:tcPr>
            <w:tcW w:w="57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630"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343" w:type="dxa"/>
            <w:vMerge/>
            <w:shd w:val="clear" w:color="auto" w:fill="D99594" w:themeFill="accent2" w:themeFillTint="99"/>
          </w:tcPr>
          <w:p w:rsidR="00617421" w:rsidRPr="004B1C12" w:rsidRDefault="00617421" w:rsidP="000701C2">
            <w:pPr>
              <w:pStyle w:val="Rowcolumntitles"/>
              <w:rPr>
                <w:rFonts w:eastAsia="Times New Roman"/>
              </w:rPr>
            </w:pPr>
          </w:p>
        </w:tc>
        <w:tc>
          <w:tcPr>
            <w:tcW w:w="435" w:type="dxa"/>
            <w:vMerge/>
            <w:shd w:val="clear" w:color="auto" w:fill="D99594" w:themeFill="accent2" w:themeFillTint="99"/>
          </w:tcPr>
          <w:p w:rsidR="00617421" w:rsidRPr="004B1C12" w:rsidRDefault="00617421" w:rsidP="000701C2">
            <w:pPr>
              <w:pStyle w:val="Rowcolumntitles"/>
              <w:rPr>
                <w:rFonts w:eastAsia="Times New Roman"/>
              </w:rPr>
            </w:pPr>
          </w:p>
        </w:tc>
      </w:tr>
      <w:tr w:rsidR="00617421" w:rsidRPr="004B1C12" w:rsidTr="00505B0A">
        <w:trPr>
          <w:trHeight w:val="974"/>
        </w:trPr>
        <w:tc>
          <w:tcPr>
            <w:tcW w:w="1628" w:type="dxa"/>
            <w:vMerge w:val="restart"/>
            <w:shd w:val="clear" w:color="auto" w:fill="000000" w:themeFill="text1"/>
          </w:tcPr>
          <w:p w:rsidR="00617421" w:rsidRPr="004B1C12" w:rsidRDefault="00617421" w:rsidP="00505B0A">
            <w:pPr>
              <w:pStyle w:val="Rowcolumntitles"/>
              <w:rPr>
                <w:color w:val="FFFFFF" w:themeColor="background1"/>
              </w:rPr>
            </w:pPr>
            <w:r>
              <w:rPr>
                <w:color w:val="FFFFFF" w:themeColor="background1"/>
              </w:rPr>
              <w:t xml:space="preserve">6. </w:t>
            </w:r>
            <w:r>
              <w:t xml:space="preserve"> </w:t>
            </w:r>
            <w:r w:rsidRPr="00AA6C7A">
              <w:rPr>
                <w:color w:val="FFFFFF" w:themeColor="background1"/>
              </w:rPr>
              <w:t>Electronic portal for registering and disposal of state property – Customer’s Module</w:t>
            </w:r>
          </w:p>
        </w:tc>
        <w:tc>
          <w:tcPr>
            <w:tcW w:w="453" w:type="dxa"/>
            <w:vMerge w:val="restart"/>
            <w:shd w:val="clear" w:color="auto" w:fill="D6E3BC" w:themeFill="accent3" w:themeFillTint="66"/>
          </w:tcPr>
          <w:p w:rsidR="00617421" w:rsidRPr="004B1C12" w:rsidRDefault="00617421" w:rsidP="00505B0A">
            <w:pPr>
              <w:pStyle w:val="Rowcolumntitles"/>
            </w:pPr>
          </w:p>
        </w:tc>
        <w:tc>
          <w:tcPr>
            <w:tcW w:w="456" w:type="dxa"/>
            <w:vMerge w:val="restart"/>
            <w:shd w:val="clear" w:color="auto" w:fill="D6E3BC" w:themeFill="accent3" w:themeFillTint="66"/>
          </w:tcPr>
          <w:p w:rsidR="00617421" w:rsidRPr="004B1C12" w:rsidRDefault="00617421" w:rsidP="00505B0A">
            <w:pPr>
              <w:pStyle w:val="Rowcolumntitles"/>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tcPr>
          <w:p w:rsidR="00617421" w:rsidRPr="004B1C12" w:rsidRDefault="00617421" w:rsidP="00505B0A">
            <w:pPr>
              <w:pStyle w:val="Rowcolumntitles"/>
              <w:rPr>
                <w:rFonts w:eastAsia="Times New Roman"/>
              </w:rPr>
            </w:pP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505B0A" w:rsidRDefault="00617421" w:rsidP="00505B0A">
            <w:pPr>
              <w:pStyle w:val="Rowcolumntitles"/>
              <w:jc w:val="center"/>
              <w:rPr>
                <w:rFonts w:eastAsia="Times New Roman"/>
              </w:rPr>
            </w:pPr>
          </w:p>
        </w:tc>
        <w:tc>
          <w:tcPr>
            <w:tcW w:w="630"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p w:rsidR="00617421" w:rsidRPr="00505B0A" w:rsidRDefault="00617421" w:rsidP="00505B0A">
            <w:pPr>
              <w:pStyle w:val="Rowcolumntitles"/>
              <w:jc w:val="center"/>
              <w:rPr>
                <w:rFonts w:eastAsia="Times New Roman"/>
              </w:rPr>
            </w:pPr>
          </w:p>
        </w:tc>
        <w:tc>
          <w:tcPr>
            <w:tcW w:w="450" w:type="dxa"/>
            <w:gridSpan w:val="2"/>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rPr>
                <w:rFonts w:eastAsia="Times New Roman"/>
              </w:rPr>
            </w:pPr>
          </w:p>
          <w:p w:rsidR="00617421" w:rsidRPr="004B1C12" w:rsidRDefault="00617421" w:rsidP="00505B0A">
            <w:pPr>
              <w:pStyle w:val="Rowcolumntitles"/>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tcPr>
          <w:p w:rsidR="00617421" w:rsidRPr="004B1C12" w:rsidRDefault="00617421" w:rsidP="00505B0A">
            <w:pPr>
              <w:pStyle w:val="Rowcolumntitles"/>
              <w:rPr>
                <w:rFonts w:eastAsia="Times New Roman"/>
              </w:rPr>
            </w:pPr>
          </w:p>
        </w:tc>
        <w:tc>
          <w:tcPr>
            <w:tcW w:w="343" w:type="dxa"/>
            <w:vMerge w:val="restart"/>
            <w:shd w:val="clear" w:color="auto" w:fill="D99594" w:themeFill="accent2" w:themeFillTint="99"/>
          </w:tcPr>
          <w:p w:rsidR="00617421" w:rsidRPr="004B1C12" w:rsidRDefault="00617421" w:rsidP="00505B0A">
            <w:pPr>
              <w:pStyle w:val="Rowcolumntitles"/>
              <w:rPr>
                <w:rFonts w:eastAsia="Times New Roman"/>
              </w:rPr>
            </w:pPr>
          </w:p>
        </w:tc>
        <w:tc>
          <w:tcPr>
            <w:tcW w:w="435" w:type="dxa"/>
            <w:vMerge w:val="restart"/>
            <w:shd w:val="clear" w:color="auto" w:fill="D99594" w:themeFill="accent2" w:themeFillTint="99"/>
          </w:tcPr>
          <w:p w:rsidR="00617421" w:rsidRPr="004B1C12" w:rsidRDefault="00617421" w:rsidP="00505B0A">
            <w:pPr>
              <w:pStyle w:val="Rowcolumntitles"/>
              <w:rPr>
                <w:rFonts w:eastAsia="Times New Roman"/>
              </w:rPr>
            </w:pPr>
          </w:p>
        </w:tc>
      </w:tr>
      <w:tr w:rsidR="00617421" w:rsidRPr="004B1C12" w:rsidTr="00C439CF">
        <w:trPr>
          <w:trHeight w:val="974"/>
        </w:trPr>
        <w:tc>
          <w:tcPr>
            <w:tcW w:w="1628" w:type="dxa"/>
            <w:vMerge/>
            <w:shd w:val="clear" w:color="auto" w:fill="000000" w:themeFill="text1"/>
          </w:tcPr>
          <w:p w:rsidR="00617421" w:rsidRDefault="00617421" w:rsidP="00505B0A">
            <w:pPr>
              <w:pStyle w:val="Rowcolumntitles"/>
              <w:rPr>
                <w:color w:val="FFFFFF" w:themeColor="background1"/>
              </w:rPr>
            </w:pPr>
          </w:p>
        </w:tc>
        <w:tc>
          <w:tcPr>
            <w:tcW w:w="453" w:type="dxa"/>
            <w:vMerge/>
            <w:shd w:val="clear" w:color="auto" w:fill="D6E3BC" w:themeFill="accent3" w:themeFillTint="66"/>
          </w:tcPr>
          <w:p w:rsidR="00617421" w:rsidRPr="004B1C12" w:rsidRDefault="00617421" w:rsidP="00505B0A">
            <w:pPr>
              <w:pStyle w:val="Rowcolumntitles"/>
            </w:pPr>
          </w:p>
        </w:tc>
        <w:tc>
          <w:tcPr>
            <w:tcW w:w="456" w:type="dxa"/>
            <w:vMerge/>
            <w:shd w:val="clear" w:color="auto" w:fill="D6E3BC" w:themeFill="accent3" w:themeFillTint="66"/>
          </w:tcPr>
          <w:p w:rsidR="00617421" w:rsidRPr="004B1C12" w:rsidRDefault="00617421" w:rsidP="00505B0A">
            <w:pPr>
              <w:pStyle w:val="Rowcolumntitles"/>
              <w:rPr>
                <w:rFonts w:eastAsia="Times New Roman"/>
              </w:rPr>
            </w:pPr>
          </w:p>
        </w:tc>
        <w:tc>
          <w:tcPr>
            <w:tcW w:w="360"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tcPr>
          <w:p w:rsidR="00617421" w:rsidRPr="004B1C12" w:rsidRDefault="00617421" w:rsidP="00505B0A">
            <w:pPr>
              <w:pStyle w:val="Rowcolumntitles"/>
              <w:rPr>
                <w:rFonts w:eastAsia="Times New Roman"/>
              </w:rPr>
            </w:pPr>
          </w:p>
        </w:tc>
        <w:tc>
          <w:tcPr>
            <w:tcW w:w="513" w:type="dxa"/>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505B0A" w:rsidRDefault="00617421" w:rsidP="00505B0A">
            <w:pPr>
              <w:pStyle w:val="Rowcolumntitles"/>
              <w:jc w:val="center"/>
              <w:rPr>
                <w:rFonts w:eastAsia="Times New Roman"/>
              </w:rPr>
            </w:pPr>
          </w:p>
        </w:tc>
        <w:tc>
          <w:tcPr>
            <w:tcW w:w="630"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p w:rsidR="00617421" w:rsidRPr="00505B0A" w:rsidRDefault="00617421" w:rsidP="00505B0A">
            <w:pPr>
              <w:pStyle w:val="Rowcolumntitles"/>
              <w:jc w:val="center"/>
              <w:rPr>
                <w:rFonts w:eastAsia="Times New Roman"/>
              </w:rPr>
            </w:pPr>
          </w:p>
        </w:tc>
        <w:tc>
          <w:tcPr>
            <w:tcW w:w="450" w:type="dxa"/>
            <w:gridSpan w:val="2"/>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rsidR="00617421" w:rsidRPr="004B1C12" w:rsidRDefault="00617421" w:rsidP="00505B0A">
            <w:pPr>
              <w:pStyle w:val="Rowcolumntitles"/>
              <w:rPr>
                <w:rFonts w:eastAsia="Times New Roman"/>
              </w:rPr>
            </w:pPr>
          </w:p>
        </w:tc>
        <w:tc>
          <w:tcPr>
            <w:tcW w:w="343" w:type="dxa"/>
            <w:vMerge/>
            <w:shd w:val="clear" w:color="auto" w:fill="D99594" w:themeFill="accent2" w:themeFillTint="99"/>
          </w:tcPr>
          <w:p w:rsidR="00617421" w:rsidRPr="004B1C12" w:rsidRDefault="00617421" w:rsidP="00505B0A">
            <w:pPr>
              <w:pStyle w:val="Rowcolumntitles"/>
              <w:rPr>
                <w:rFonts w:eastAsia="Times New Roman"/>
              </w:rPr>
            </w:pPr>
          </w:p>
        </w:tc>
        <w:tc>
          <w:tcPr>
            <w:tcW w:w="343" w:type="dxa"/>
            <w:vMerge/>
            <w:shd w:val="clear" w:color="auto" w:fill="D99594" w:themeFill="accent2" w:themeFillTint="99"/>
          </w:tcPr>
          <w:p w:rsidR="00617421" w:rsidRPr="004B1C12" w:rsidRDefault="00617421" w:rsidP="00505B0A">
            <w:pPr>
              <w:pStyle w:val="Rowcolumntitles"/>
              <w:rPr>
                <w:rFonts w:eastAsia="Times New Roman"/>
              </w:rPr>
            </w:pPr>
          </w:p>
        </w:tc>
        <w:tc>
          <w:tcPr>
            <w:tcW w:w="343" w:type="dxa"/>
            <w:vMerge/>
            <w:shd w:val="clear" w:color="auto" w:fill="D99594" w:themeFill="accent2" w:themeFillTint="99"/>
          </w:tcPr>
          <w:p w:rsidR="00617421" w:rsidRPr="004B1C12" w:rsidRDefault="00617421" w:rsidP="00505B0A">
            <w:pPr>
              <w:pStyle w:val="Rowcolumntitles"/>
              <w:rPr>
                <w:rFonts w:eastAsia="Times New Roman"/>
              </w:rPr>
            </w:pPr>
          </w:p>
        </w:tc>
        <w:tc>
          <w:tcPr>
            <w:tcW w:w="435" w:type="dxa"/>
            <w:vMerge/>
            <w:shd w:val="clear" w:color="auto" w:fill="D99594" w:themeFill="accent2" w:themeFillTint="99"/>
          </w:tcPr>
          <w:p w:rsidR="00617421" w:rsidRPr="004B1C12" w:rsidRDefault="00617421" w:rsidP="00505B0A">
            <w:pPr>
              <w:pStyle w:val="Rowcolumntitles"/>
              <w:rPr>
                <w:rFonts w:eastAsia="Times New Roman"/>
              </w:rPr>
            </w:pPr>
          </w:p>
        </w:tc>
      </w:tr>
      <w:tr w:rsidR="00617421" w:rsidRPr="004B1C12" w:rsidTr="00505B0A">
        <w:trPr>
          <w:trHeight w:val="733"/>
        </w:trPr>
        <w:tc>
          <w:tcPr>
            <w:tcW w:w="1628" w:type="dxa"/>
            <w:vMerge w:val="restart"/>
            <w:shd w:val="clear" w:color="auto" w:fill="000000" w:themeFill="text1"/>
          </w:tcPr>
          <w:p w:rsidR="00617421" w:rsidRPr="004B1C12" w:rsidRDefault="00617421" w:rsidP="00505B0A">
            <w:pPr>
              <w:pStyle w:val="Rowcolumntitles"/>
              <w:rPr>
                <w:color w:val="FFFFFF" w:themeColor="background1"/>
              </w:rPr>
            </w:pPr>
            <w:r w:rsidRPr="008536D2">
              <w:rPr>
                <w:color w:val="FFFFFF" w:themeColor="background1"/>
              </w:rPr>
              <w:t>7. Development of the Freedom of Information Law</w:t>
            </w:r>
          </w:p>
        </w:tc>
        <w:tc>
          <w:tcPr>
            <w:tcW w:w="453" w:type="dxa"/>
            <w:vMerge w:val="restart"/>
            <w:shd w:val="clear" w:color="auto" w:fill="D6E3BC" w:themeFill="accent3" w:themeFillTint="66"/>
          </w:tcPr>
          <w:p w:rsidR="00617421" w:rsidRPr="004B1C12" w:rsidRDefault="00617421" w:rsidP="00505B0A">
            <w:pPr>
              <w:pStyle w:val="Rowcolumntitles"/>
            </w:pPr>
          </w:p>
        </w:tc>
        <w:tc>
          <w:tcPr>
            <w:tcW w:w="456" w:type="dxa"/>
            <w:vMerge w:val="restart"/>
            <w:shd w:val="clear" w:color="auto" w:fill="D6E3BC" w:themeFill="accent3" w:themeFillTint="66"/>
          </w:tcPr>
          <w:p w:rsidR="00617421" w:rsidRPr="004B1C12" w:rsidRDefault="00617421" w:rsidP="00505B0A">
            <w:pPr>
              <w:pStyle w:val="Rowcolumntitles"/>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pPr>
          </w:p>
        </w:tc>
        <w:tc>
          <w:tcPr>
            <w:tcW w:w="361" w:type="dxa"/>
            <w:vMerge w:val="restart"/>
            <w:shd w:val="clear" w:color="auto" w:fill="D6E3BC" w:themeFill="accent3" w:themeFillTint="66"/>
          </w:tcPr>
          <w:p w:rsidR="00617421" w:rsidRPr="004B1C12" w:rsidRDefault="000E0A52" w:rsidP="00505B0A">
            <w:pPr>
              <w:pStyle w:val="Rowcolumntitles"/>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rsidR="00617421" w:rsidRPr="004B1C12" w:rsidRDefault="00617421" w:rsidP="00505B0A">
            <w:pPr>
              <w:pStyle w:val="Rowcolumntitles"/>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tcPr>
          <w:p w:rsidR="00617421" w:rsidRPr="004B1C12" w:rsidRDefault="00617421" w:rsidP="00505B0A">
            <w:pPr>
              <w:pStyle w:val="Rowcolumntitles"/>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rPr>
                <w:rFonts w:eastAsia="Times New Roman"/>
              </w:rPr>
            </w:pPr>
            <w:r w:rsidRPr="0010229D">
              <w:rPr>
                <w:rFonts w:ascii="MS Mincho" w:eastAsia="MS Mincho" w:hAnsi="MS Mincho" w:cs="MS Mincho"/>
                <w:sz w:val="20"/>
              </w:rPr>
              <w:t>✔</w:t>
            </w:r>
          </w:p>
        </w:tc>
        <w:tc>
          <w:tcPr>
            <w:tcW w:w="1094" w:type="dxa"/>
            <w:gridSpan w:val="2"/>
            <w:vMerge w:val="restart"/>
            <w:shd w:val="clear" w:color="auto" w:fill="FBD4B4" w:themeFill="accent6" w:themeFillTint="66"/>
          </w:tcPr>
          <w:p w:rsidR="00617421" w:rsidRPr="004B1C12" w:rsidRDefault="00617421" w:rsidP="00505B0A">
            <w:pPr>
              <w:pStyle w:val="Rowcolumntitles"/>
              <w:rPr>
                <w:rFonts w:eastAsia="Times New Roman"/>
              </w:rPr>
            </w:pPr>
          </w:p>
        </w:tc>
        <w:tc>
          <w:tcPr>
            <w:tcW w:w="372" w:type="dxa"/>
            <w:vMerge w:val="restart"/>
            <w:shd w:val="clear" w:color="auto" w:fill="CCC0D9" w:themeFill="accent4" w:themeFillTint="66"/>
          </w:tcPr>
          <w:p w:rsidR="00617421" w:rsidRPr="004B1C12" w:rsidRDefault="00617421" w:rsidP="00505B0A">
            <w:pPr>
              <w:pStyle w:val="Rowcolumntitles"/>
            </w:pPr>
          </w:p>
        </w:tc>
        <w:tc>
          <w:tcPr>
            <w:tcW w:w="372" w:type="dxa"/>
            <w:vMerge w:val="restart"/>
            <w:shd w:val="clear" w:color="auto" w:fill="CCC0D9" w:themeFill="accent4" w:themeFillTint="66"/>
          </w:tcPr>
          <w:p w:rsidR="00617421" w:rsidRPr="004B1C12" w:rsidRDefault="00617421" w:rsidP="00505B0A">
            <w:pPr>
              <w:pStyle w:val="Rowcolumntitles"/>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pPr>
          </w:p>
        </w:tc>
        <w:tc>
          <w:tcPr>
            <w:tcW w:w="373" w:type="dxa"/>
            <w:vMerge w:val="restart"/>
            <w:shd w:val="clear" w:color="auto" w:fill="CCC0D9" w:themeFill="accent4" w:themeFillTint="66"/>
          </w:tcPr>
          <w:p w:rsidR="00617421" w:rsidRPr="004B1C12" w:rsidRDefault="000E0A52" w:rsidP="00505B0A">
            <w:pPr>
              <w:pStyle w:val="Rowcolumntitles"/>
              <w:rPr>
                <w:rFonts w:eastAsia="Times New Roman"/>
              </w:rPr>
            </w:pPr>
            <w:r w:rsidRPr="0010229D">
              <w:rPr>
                <w:rFonts w:ascii="MS Mincho" w:eastAsia="MS Mincho" w:hAnsi="MS Mincho" w:cs="MS Mincho"/>
                <w:sz w:val="20"/>
              </w:rPr>
              <w:t>✔</w:t>
            </w: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r w:rsidRPr="001A7094">
              <w:rPr>
                <w:rFonts w:ascii="MS Mincho" w:eastAsia="MS Mincho" w:hAnsi="MS Mincho" w:cs="MS Mincho"/>
                <w:sz w:val="20"/>
              </w:rPr>
              <w:t>✔</w:t>
            </w:r>
          </w:p>
        </w:tc>
        <w:tc>
          <w:tcPr>
            <w:tcW w:w="450" w:type="dxa"/>
            <w:gridSpan w:val="2"/>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tcPr>
          <w:p w:rsidR="00617421" w:rsidRPr="004B1C12" w:rsidRDefault="00617421" w:rsidP="00505B0A">
            <w:pPr>
              <w:pStyle w:val="Rowcolumntitles"/>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tcPr>
          <w:p w:rsidR="00617421" w:rsidRPr="004B1C12" w:rsidRDefault="00617421" w:rsidP="00505B0A">
            <w:pPr>
              <w:pStyle w:val="Rowcolumntitles"/>
              <w:rPr>
                <w:rFonts w:eastAsia="Times New Roman"/>
              </w:rPr>
            </w:pPr>
          </w:p>
        </w:tc>
        <w:tc>
          <w:tcPr>
            <w:tcW w:w="343" w:type="dxa"/>
            <w:vMerge w:val="restart"/>
            <w:shd w:val="clear" w:color="auto" w:fill="D99594" w:themeFill="accent2" w:themeFillTint="99"/>
          </w:tcPr>
          <w:p w:rsidR="00617421" w:rsidRPr="004B1C12" w:rsidRDefault="00617421" w:rsidP="00505B0A">
            <w:pPr>
              <w:pStyle w:val="Rowcolumntitles"/>
              <w:rPr>
                <w:rFonts w:eastAsia="Times New Roman"/>
              </w:rPr>
            </w:pPr>
          </w:p>
        </w:tc>
        <w:tc>
          <w:tcPr>
            <w:tcW w:w="435" w:type="dxa"/>
            <w:vMerge w:val="restart"/>
            <w:shd w:val="clear" w:color="auto" w:fill="D99594" w:themeFill="accent2" w:themeFillTint="99"/>
          </w:tcPr>
          <w:p w:rsidR="00617421" w:rsidRPr="004B1C12" w:rsidRDefault="00617421" w:rsidP="00505B0A">
            <w:pPr>
              <w:pStyle w:val="Rowcolumntitles"/>
              <w:rPr>
                <w:rFonts w:eastAsia="Times New Roman"/>
              </w:rPr>
            </w:pPr>
          </w:p>
        </w:tc>
      </w:tr>
      <w:tr w:rsidR="00617421" w:rsidRPr="004B1C12" w:rsidTr="00505B0A">
        <w:trPr>
          <w:trHeight w:val="732"/>
        </w:trPr>
        <w:tc>
          <w:tcPr>
            <w:tcW w:w="1628" w:type="dxa"/>
            <w:vMerge/>
            <w:shd w:val="clear" w:color="auto" w:fill="000000" w:themeFill="text1"/>
          </w:tcPr>
          <w:p w:rsidR="00617421" w:rsidRPr="008536D2" w:rsidRDefault="00617421" w:rsidP="00505B0A">
            <w:pPr>
              <w:pStyle w:val="Rowcolumntitles"/>
              <w:rPr>
                <w:color w:val="FFFFFF" w:themeColor="background1"/>
              </w:rPr>
            </w:pPr>
          </w:p>
        </w:tc>
        <w:tc>
          <w:tcPr>
            <w:tcW w:w="453" w:type="dxa"/>
            <w:vMerge/>
            <w:shd w:val="clear" w:color="auto" w:fill="D6E3BC" w:themeFill="accent3" w:themeFillTint="66"/>
          </w:tcPr>
          <w:p w:rsidR="00617421" w:rsidRPr="004B1C12" w:rsidRDefault="00617421" w:rsidP="00505B0A">
            <w:pPr>
              <w:pStyle w:val="Rowcolumntitles"/>
            </w:pPr>
          </w:p>
        </w:tc>
        <w:tc>
          <w:tcPr>
            <w:tcW w:w="456" w:type="dxa"/>
            <w:vMerge/>
            <w:shd w:val="clear" w:color="auto" w:fill="D6E3BC" w:themeFill="accent3" w:themeFillTint="66"/>
          </w:tcPr>
          <w:p w:rsidR="00617421" w:rsidRPr="004B1C12" w:rsidRDefault="00617421" w:rsidP="00505B0A">
            <w:pPr>
              <w:pStyle w:val="Rowcolumntitles"/>
              <w:rPr>
                <w:rFonts w:eastAsia="Times New Roman"/>
              </w:rPr>
            </w:pPr>
          </w:p>
        </w:tc>
        <w:tc>
          <w:tcPr>
            <w:tcW w:w="360" w:type="dxa"/>
            <w:vMerge/>
            <w:shd w:val="clear" w:color="auto" w:fill="D6E3BC" w:themeFill="accent3" w:themeFillTint="66"/>
            <w:vAlign w:val="center"/>
          </w:tcPr>
          <w:p w:rsidR="00617421" w:rsidRPr="0010229D" w:rsidRDefault="00617421" w:rsidP="00505B0A">
            <w:pPr>
              <w:pStyle w:val="Rowcolumntitles"/>
              <w:rPr>
                <w:rFonts w:ascii="MS Mincho" w:eastAsia="MS Mincho" w:hAnsi="MS Mincho" w:cs="MS Mincho"/>
                <w:sz w:val="20"/>
              </w:rPr>
            </w:pPr>
          </w:p>
        </w:tc>
        <w:tc>
          <w:tcPr>
            <w:tcW w:w="361" w:type="dxa"/>
            <w:vMerge/>
            <w:shd w:val="clear" w:color="auto" w:fill="D6E3BC" w:themeFill="accent3" w:themeFillTint="66"/>
          </w:tcPr>
          <w:p w:rsidR="00617421" w:rsidRPr="004B1C12" w:rsidRDefault="00617421" w:rsidP="00505B0A">
            <w:pPr>
              <w:pStyle w:val="Rowcolumntitles"/>
              <w:rPr>
                <w:rFonts w:eastAsia="Times New Roman"/>
              </w:rPr>
            </w:pPr>
          </w:p>
        </w:tc>
        <w:tc>
          <w:tcPr>
            <w:tcW w:w="513" w:type="dxa"/>
            <w:vMerge/>
            <w:shd w:val="clear" w:color="auto" w:fill="FBD4B4" w:themeFill="accent6" w:themeFillTint="66"/>
            <w:vAlign w:val="center"/>
          </w:tcPr>
          <w:p w:rsidR="00617421" w:rsidRPr="0010229D" w:rsidRDefault="00617421" w:rsidP="00505B0A">
            <w:pPr>
              <w:pStyle w:val="Rowcolumntitles"/>
              <w:rPr>
                <w:rFonts w:ascii="MS Mincho" w:eastAsia="MS Mincho" w:hAnsi="MS Mincho" w:cs="MS Mincho"/>
                <w:sz w:val="20"/>
              </w:rPr>
            </w:pPr>
          </w:p>
        </w:tc>
        <w:tc>
          <w:tcPr>
            <w:tcW w:w="390" w:type="dxa"/>
            <w:gridSpan w:val="2"/>
            <w:vMerge/>
            <w:shd w:val="clear" w:color="auto" w:fill="FBD4B4" w:themeFill="accent6" w:themeFillTint="66"/>
          </w:tcPr>
          <w:p w:rsidR="00617421" w:rsidRPr="004B1C12" w:rsidRDefault="00617421" w:rsidP="00505B0A">
            <w:pPr>
              <w:pStyle w:val="Rowcolumntitles"/>
              <w:rPr>
                <w:rFonts w:eastAsia="Times New Roman"/>
              </w:rPr>
            </w:pPr>
          </w:p>
        </w:tc>
        <w:tc>
          <w:tcPr>
            <w:tcW w:w="391" w:type="dxa"/>
            <w:gridSpan w:val="2"/>
            <w:vMerge/>
            <w:shd w:val="clear" w:color="auto" w:fill="FBD4B4" w:themeFill="accent6" w:themeFillTint="66"/>
            <w:vAlign w:val="center"/>
          </w:tcPr>
          <w:p w:rsidR="00617421" w:rsidRPr="0010229D" w:rsidRDefault="00617421" w:rsidP="00505B0A">
            <w:pPr>
              <w:pStyle w:val="Rowcolumntitles"/>
              <w:rPr>
                <w:rFonts w:ascii="MS Mincho" w:eastAsia="MS Mincho" w:hAnsi="MS Mincho" w:cs="MS Mincho"/>
                <w:sz w:val="20"/>
              </w:rPr>
            </w:pPr>
          </w:p>
        </w:tc>
        <w:tc>
          <w:tcPr>
            <w:tcW w:w="1094" w:type="dxa"/>
            <w:gridSpan w:val="2"/>
            <w:vMerge/>
            <w:shd w:val="clear" w:color="auto" w:fill="FBD4B4" w:themeFill="accent6" w:themeFillTint="66"/>
          </w:tcPr>
          <w:p w:rsidR="00617421" w:rsidRPr="004B1C12" w:rsidRDefault="00617421" w:rsidP="00505B0A">
            <w:pPr>
              <w:pStyle w:val="Rowcolumntitles"/>
              <w:rPr>
                <w:rFonts w:eastAsia="Times New Roman"/>
              </w:rPr>
            </w:pPr>
          </w:p>
        </w:tc>
        <w:tc>
          <w:tcPr>
            <w:tcW w:w="372" w:type="dxa"/>
            <w:vMerge/>
            <w:shd w:val="clear" w:color="auto" w:fill="CCC0D9" w:themeFill="accent4" w:themeFillTint="66"/>
          </w:tcPr>
          <w:p w:rsidR="00617421" w:rsidRPr="004B1C12" w:rsidRDefault="00617421" w:rsidP="00505B0A">
            <w:pPr>
              <w:pStyle w:val="Rowcolumntitles"/>
            </w:pPr>
          </w:p>
        </w:tc>
        <w:tc>
          <w:tcPr>
            <w:tcW w:w="372" w:type="dxa"/>
            <w:vMerge/>
            <w:shd w:val="clear" w:color="auto" w:fill="CCC0D9" w:themeFill="accent4" w:themeFillTint="66"/>
          </w:tcPr>
          <w:p w:rsidR="00617421" w:rsidRPr="004B1C12" w:rsidRDefault="00617421" w:rsidP="00505B0A">
            <w:pPr>
              <w:pStyle w:val="Rowcolumntitles"/>
              <w:rPr>
                <w:rFonts w:eastAsia="Times New Roman"/>
              </w:rPr>
            </w:pPr>
          </w:p>
        </w:tc>
        <w:tc>
          <w:tcPr>
            <w:tcW w:w="372" w:type="dxa"/>
            <w:vMerge/>
            <w:shd w:val="clear" w:color="auto" w:fill="CCC0D9" w:themeFill="accent4" w:themeFillTint="66"/>
            <w:vAlign w:val="center"/>
          </w:tcPr>
          <w:p w:rsidR="00617421" w:rsidRPr="0010229D" w:rsidRDefault="00617421" w:rsidP="00505B0A">
            <w:pPr>
              <w:pStyle w:val="Rowcolumntitles"/>
              <w:rPr>
                <w:rFonts w:ascii="MS Mincho" w:eastAsia="MS Mincho" w:hAnsi="MS Mincho" w:cs="MS Mincho"/>
                <w:sz w:val="20"/>
              </w:rPr>
            </w:pPr>
          </w:p>
        </w:tc>
        <w:tc>
          <w:tcPr>
            <w:tcW w:w="373" w:type="dxa"/>
            <w:vMerge/>
            <w:shd w:val="clear" w:color="auto" w:fill="CCC0D9" w:themeFill="accent4" w:themeFillTint="66"/>
          </w:tcPr>
          <w:p w:rsidR="00617421" w:rsidRPr="004B1C12" w:rsidRDefault="00617421" w:rsidP="00505B0A">
            <w:pPr>
              <w:pStyle w:val="Rowcolumntitles"/>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r w:rsidRPr="001A7094">
              <w:rPr>
                <w:rFonts w:ascii="MS Mincho" w:eastAsia="MS Mincho" w:hAnsi="MS Mincho" w:cs="MS Mincho"/>
                <w:sz w:val="20"/>
              </w:rPr>
              <w:t>✔</w:t>
            </w:r>
          </w:p>
        </w:tc>
        <w:tc>
          <w:tcPr>
            <w:tcW w:w="450" w:type="dxa"/>
            <w:gridSpan w:val="2"/>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tcPr>
          <w:p w:rsidR="00617421" w:rsidRPr="004B1C12" w:rsidRDefault="00617421" w:rsidP="00505B0A">
            <w:pPr>
              <w:pStyle w:val="Rowcolumntitles"/>
              <w:rPr>
                <w:rFonts w:eastAsia="Times New Roman"/>
              </w:rPr>
            </w:pPr>
          </w:p>
        </w:tc>
        <w:tc>
          <w:tcPr>
            <w:tcW w:w="343" w:type="dxa"/>
            <w:vMerge/>
            <w:shd w:val="clear" w:color="auto" w:fill="D99594" w:themeFill="accent2" w:themeFillTint="99"/>
          </w:tcPr>
          <w:p w:rsidR="00617421" w:rsidRPr="004B1C12" w:rsidRDefault="00617421" w:rsidP="00505B0A">
            <w:pPr>
              <w:pStyle w:val="Rowcolumntitles"/>
              <w:rPr>
                <w:rFonts w:eastAsia="Times New Roman"/>
              </w:rPr>
            </w:pPr>
          </w:p>
        </w:tc>
        <w:tc>
          <w:tcPr>
            <w:tcW w:w="343" w:type="dxa"/>
            <w:vMerge/>
            <w:shd w:val="clear" w:color="auto" w:fill="D99594" w:themeFill="accent2" w:themeFillTint="99"/>
          </w:tcPr>
          <w:p w:rsidR="00617421" w:rsidRPr="004B1C12" w:rsidRDefault="00617421" w:rsidP="00505B0A">
            <w:pPr>
              <w:pStyle w:val="Rowcolumntitles"/>
              <w:rPr>
                <w:rFonts w:eastAsia="Times New Roman"/>
              </w:rPr>
            </w:pPr>
          </w:p>
        </w:tc>
        <w:tc>
          <w:tcPr>
            <w:tcW w:w="343" w:type="dxa"/>
            <w:vMerge/>
            <w:shd w:val="clear" w:color="auto" w:fill="D99594" w:themeFill="accent2" w:themeFillTint="99"/>
          </w:tcPr>
          <w:p w:rsidR="00617421" w:rsidRPr="004B1C12" w:rsidRDefault="00617421" w:rsidP="00505B0A">
            <w:pPr>
              <w:pStyle w:val="Rowcolumntitles"/>
              <w:rPr>
                <w:rFonts w:eastAsia="Times New Roman"/>
              </w:rPr>
            </w:pPr>
          </w:p>
        </w:tc>
        <w:tc>
          <w:tcPr>
            <w:tcW w:w="435" w:type="dxa"/>
            <w:vMerge/>
            <w:shd w:val="clear" w:color="auto" w:fill="D99594" w:themeFill="accent2" w:themeFillTint="99"/>
          </w:tcPr>
          <w:p w:rsidR="00617421" w:rsidRPr="004B1C12" w:rsidRDefault="00617421" w:rsidP="00505B0A">
            <w:pPr>
              <w:pStyle w:val="Rowcolumntitles"/>
              <w:rPr>
                <w:rFonts w:eastAsia="Times New Roman"/>
              </w:rPr>
            </w:pPr>
          </w:p>
        </w:tc>
      </w:tr>
      <w:tr w:rsidR="00617421" w:rsidRPr="004B1C12" w:rsidTr="00505B0A">
        <w:trPr>
          <w:trHeight w:val="974"/>
        </w:trPr>
        <w:tc>
          <w:tcPr>
            <w:tcW w:w="1628" w:type="dxa"/>
            <w:vMerge w:val="restart"/>
            <w:shd w:val="clear" w:color="auto" w:fill="000000" w:themeFill="text1"/>
            <w:vAlign w:val="center"/>
          </w:tcPr>
          <w:p w:rsidR="00617421" w:rsidRPr="004B1C12" w:rsidRDefault="00617421" w:rsidP="00505B0A">
            <w:pPr>
              <w:pStyle w:val="Rowcolumntitles"/>
              <w:rPr>
                <w:color w:val="FFFFFF" w:themeColor="background1"/>
              </w:rPr>
            </w:pPr>
            <w:r w:rsidRPr="003B60EE">
              <w:rPr>
                <w:color w:val="FFFFFF" w:themeColor="background1"/>
              </w:rPr>
              <w:t>8. Development of a monitoring and assessment system of the Government</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r w:rsidRPr="0010229D">
              <w:rPr>
                <w:rFonts w:ascii="MS Mincho" w:eastAsia="MS Mincho" w:hAnsi="MS Mincho" w:cs="MS Mincho"/>
                <w:sz w:val="20"/>
              </w:rPr>
              <w:t>✔</w:t>
            </w:r>
          </w:p>
        </w:tc>
        <w:tc>
          <w:tcPr>
            <w:tcW w:w="450" w:type="dxa"/>
            <w:gridSpan w:val="2"/>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974"/>
        </w:trPr>
        <w:tc>
          <w:tcPr>
            <w:tcW w:w="1628" w:type="dxa"/>
            <w:vMerge/>
            <w:shd w:val="clear" w:color="auto" w:fill="000000" w:themeFill="text1"/>
            <w:vAlign w:val="center"/>
          </w:tcPr>
          <w:p w:rsidR="00617421" w:rsidRPr="003B60EE" w:rsidRDefault="00617421" w:rsidP="00505B0A">
            <w:pPr>
              <w:pStyle w:val="Rowcolumntitles"/>
              <w:rPr>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r w:rsidRPr="0010229D">
              <w:rPr>
                <w:rFonts w:ascii="MS Mincho" w:eastAsia="MS Mincho" w:hAnsi="MS Mincho" w:cs="MS Mincho"/>
                <w:sz w:val="20"/>
              </w:rPr>
              <w:t>✔</w:t>
            </w:r>
          </w:p>
        </w:tc>
        <w:tc>
          <w:tcPr>
            <w:tcW w:w="450" w:type="dxa"/>
            <w:gridSpan w:val="2"/>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853"/>
        </w:trPr>
        <w:tc>
          <w:tcPr>
            <w:tcW w:w="1628" w:type="dxa"/>
            <w:vMerge w:val="restart"/>
            <w:shd w:val="clear" w:color="auto" w:fill="000000" w:themeFill="text1"/>
          </w:tcPr>
          <w:p w:rsidR="00617421" w:rsidRPr="004B1C12" w:rsidRDefault="00617421" w:rsidP="00505B0A">
            <w:pPr>
              <w:pStyle w:val="Rowcolumntitles"/>
              <w:rPr>
                <w:color w:val="FFFFFF" w:themeColor="background1"/>
              </w:rPr>
            </w:pPr>
            <w:r w:rsidRPr="00583E83">
              <w:rPr>
                <w:rFonts w:ascii="Segoe UI Symbol" w:hAnsi="Segoe UI Symbol" w:cs="Segoe UI Symbol"/>
                <w:color w:val="FFFFFF" w:themeColor="background1"/>
              </w:rPr>
              <w:t>✪</w:t>
            </w:r>
            <w:r w:rsidRPr="00583E83">
              <w:rPr>
                <w:color w:val="FFFFFF" w:themeColor="background1"/>
              </w:rPr>
              <w:t xml:space="preserve"> 9. </w:t>
            </w:r>
            <w:r>
              <w:rPr>
                <w:color w:val="FFFFFF" w:themeColor="background1"/>
              </w:rPr>
              <w:t>I</w:t>
            </w:r>
            <w:r w:rsidRPr="00583E83">
              <w:rPr>
                <w:color w:val="FFFFFF" w:themeColor="background1"/>
              </w:rPr>
              <w:t xml:space="preserve">ntroduction of </w:t>
            </w:r>
            <w:r w:rsidRPr="00583E83">
              <w:rPr>
                <w:color w:val="FFFFFF" w:themeColor="background1"/>
              </w:rPr>
              <w:lastRenderedPageBreak/>
              <w:t>the public officials’ asset declarations monitoring system</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BC24F0">
              <w:rPr>
                <w:rFonts w:ascii="MS Mincho" w:eastAsia="MS Mincho" w:hAnsi="MS Mincho" w:cs="MS Mincho"/>
                <w:sz w:val="20"/>
              </w:rPr>
              <w:t>✔</w:t>
            </w:r>
          </w:p>
        </w:tc>
        <w:tc>
          <w:tcPr>
            <w:tcW w:w="593" w:type="dxa"/>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853"/>
        </w:trPr>
        <w:tc>
          <w:tcPr>
            <w:tcW w:w="1628" w:type="dxa"/>
            <w:vMerge/>
            <w:shd w:val="clear" w:color="auto" w:fill="000000" w:themeFill="text1"/>
          </w:tcPr>
          <w:p w:rsidR="00617421" w:rsidRPr="00583E83"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0"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1094"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3"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vMerge/>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BC24F0">
              <w:rPr>
                <w:rFonts w:ascii="MS Mincho" w:eastAsia="MS Mincho" w:hAnsi="MS Mincho" w:cs="MS Mincho"/>
                <w:sz w:val="20"/>
              </w:rPr>
              <w:t>✔</w:t>
            </w:r>
          </w:p>
        </w:tc>
        <w:tc>
          <w:tcPr>
            <w:tcW w:w="593" w:type="dxa"/>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733"/>
        </w:trPr>
        <w:tc>
          <w:tcPr>
            <w:tcW w:w="1628" w:type="dxa"/>
            <w:vMerge w:val="restart"/>
            <w:shd w:val="clear" w:color="auto" w:fill="000000" w:themeFill="text1"/>
          </w:tcPr>
          <w:p w:rsidR="00617421" w:rsidRPr="00FE412C" w:rsidRDefault="00617421" w:rsidP="00505B0A">
            <w:pPr>
              <w:pStyle w:val="Rowcolumntitles"/>
              <w:rPr>
                <w:color w:val="FFFFFF" w:themeColor="background1"/>
              </w:rPr>
            </w:pPr>
            <w:r w:rsidRPr="00FE412C">
              <w:rPr>
                <w:rFonts w:hint="cs"/>
                <w:color w:val="FFFFFF" w:themeColor="background1"/>
              </w:rPr>
              <w:lastRenderedPageBreak/>
              <w:t>10. Establishing unified regulations to publish court decisions</w:t>
            </w:r>
          </w:p>
        </w:tc>
        <w:tc>
          <w:tcPr>
            <w:tcW w:w="453" w:type="dxa"/>
            <w:vMerge w:val="restart"/>
            <w:shd w:val="clear" w:color="auto" w:fill="D6E3BC" w:themeFill="accent3" w:themeFillTint="66"/>
          </w:tcPr>
          <w:p w:rsidR="00617421" w:rsidRPr="004B1C12" w:rsidRDefault="00617421" w:rsidP="00505B0A">
            <w:pPr>
              <w:pStyle w:val="Rowcolumntitles"/>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F43F5D" w:rsidP="00505B0A">
            <w:pPr>
              <w:pStyle w:val="Rowcolumntitles"/>
              <w:jc w:val="center"/>
              <w:rPr>
                <w:rFonts w:ascii="MS Mincho" w:eastAsia="MS Mincho" w:hAnsi="MS Mincho" w:cs="MS Mincho"/>
                <w:sz w:val="20"/>
              </w:rPr>
            </w:pPr>
            <w:r w:rsidRPr="00270B74">
              <w:rPr>
                <w:rFonts w:ascii="Menlo Bold" w:eastAsia="MS Mincho" w:hAnsi="Menlo Bold" w:cs="Menlo Bold"/>
                <w:sz w:val="20"/>
              </w:rPr>
              <w:t>✔</w:t>
            </w: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tcPr>
          <w:p w:rsidR="00617421" w:rsidRPr="004B1C12" w:rsidRDefault="00617421" w:rsidP="00505B0A">
            <w:pPr>
              <w:pStyle w:val="Rowcolumntitles"/>
              <w:rPr>
                <w:rFonts w:eastAsia="Times New Roman"/>
              </w:rPr>
            </w:pPr>
          </w:p>
        </w:tc>
      </w:tr>
      <w:tr w:rsidR="00617421" w:rsidRPr="004B1C12" w:rsidTr="00505B0A">
        <w:trPr>
          <w:trHeight w:val="732"/>
        </w:trPr>
        <w:tc>
          <w:tcPr>
            <w:tcW w:w="1628" w:type="dxa"/>
            <w:vMerge/>
            <w:shd w:val="clear" w:color="auto" w:fill="000000" w:themeFill="text1"/>
          </w:tcPr>
          <w:p w:rsidR="00617421" w:rsidRPr="000149D5"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tcPr>
          <w:p w:rsidR="00617421" w:rsidRPr="004B1C12" w:rsidRDefault="00617421" w:rsidP="00505B0A">
            <w:pPr>
              <w:pStyle w:val="Rowcolumntitles"/>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r w:rsidRPr="00270B74">
              <w:rPr>
                <w:rFonts w:ascii="MS Mincho" w:eastAsia="MS Mincho" w:hAnsi="MS Mincho" w:cs="MS Mincho"/>
                <w:sz w:val="20"/>
              </w:rPr>
              <w:t>✔</w:t>
            </w: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tcPr>
          <w:p w:rsidR="00617421" w:rsidRPr="004B1C12" w:rsidRDefault="00617421" w:rsidP="00505B0A">
            <w:pPr>
              <w:pStyle w:val="Rowcolumntitles"/>
              <w:rPr>
                <w:rFonts w:eastAsia="Times New Roman"/>
              </w:rPr>
            </w:pPr>
          </w:p>
        </w:tc>
      </w:tr>
      <w:tr w:rsidR="00617421" w:rsidRPr="004B1C12" w:rsidTr="00505B0A">
        <w:trPr>
          <w:trHeight w:val="1461"/>
        </w:trPr>
        <w:tc>
          <w:tcPr>
            <w:tcW w:w="1628" w:type="dxa"/>
            <w:vMerge w:val="restart"/>
            <w:shd w:val="clear" w:color="auto" w:fill="000000" w:themeFill="text1"/>
          </w:tcPr>
          <w:p w:rsidR="00617421" w:rsidRPr="000149D5" w:rsidRDefault="00617421" w:rsidP="00505B0A">
            <w:pPr>
              <w:pStyle w:val="Rowcolumntitles"/>
              <w:rPr>
                <w:rFonts w:ascii="Segoe UI Symbol" w:hAnsi="Segoe UI Symbol" w:cs="Segoe UI Symbol"/>
                <w:color w:val="FFFFFF" w:themeColor="background1"/>
              </w:rPr>
            </w:pPr>
            <w:r>
              <w:rPr>
                <w:color w:val="FFFFFF" w:themeColor="background1"/>
              </w:rPr>
              <w:t xml:space="preserve">11. </w:t>
            </w:r>
            <w:r w:rsidRPr="00AA6C7A">
              <w:rPr>
                <w:color w:val="FFFFFF" w:themeColor="background1"/>
              </w:rPr>
              <w:t xml:space="preserve">Development of transparency and integrity strategy and action plan </w:t>
            </w:r>
            <w:r w:rsidR="00FF7B5E">
              <w:rPr>
                <w:color w:val="FFFFFF" w:themeColor="background1"/>
              </w:rPr>
              <w:t xml:space="preserve">for </w:t>
            </w:r>
            <w:r w:rsidRPr="00AA6C7A">
              <w:rPr>
                <w:color w:val="FFFFFF" w:themeColor="background1"/>
              </w:rPr>
              <w:t>regional development and infrastructure</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462934"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1461"/>
        </w:trPr>
        <w:tc>
          <w:tcPr>
            <w:tcW w:w="1628" w:type="dxa"/>
            <w:vMerge/>
            <w:shd w:val="clear" w:color="auto" w:fill="000000" w:themeFill="text1"/>
          </w:tcPr>
          <w:p w:rsidR="00617421" w:rsidRDefault="00617421" w:rsidP="00505B0A">
            <w:pPr>
              <w:pStyle w:val="Rowcolumntitles"/>
              <w:rPr>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vMerge/>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733"/>
        </w:trPr>
        <w:tc>
          <w:tcPr>
            <w:tcW w:w="1628" w:type="dxa"/>
            <w:vMerge w:val="restart"/>
            <w:shd w:val="clear" w:color="auto" w:fill="000000" w:themeFill="text1"/>
          </w:tcPr>
          <w:p w:rsidR="00617421" w:rsidRPr="00FF7B5E" w:rsidRDefault="00617421" w:rsidP="00505B0A">
            <w:pPr>
              <w:pStyle w:val="Rowcolumntitles"/>
              <w:rPr>
                <w:color w:val="FFFFFF" w:themeColor="background1"/>
              </w:rPr>
            </w:pPr>
            <w:r w:rsidRPr="00FF7B5E">
              <w:rPr>
                <w:rFonts w:hint="cs"/>
                <w:color w:val="FFFFFF" w:themeColor="background1"/>
              </w:rPr>
              <w:t xml:space="preserve">12. Database of the convicted and electronic workflow management  </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2388" w:type="dxa"/>
            <w:gridSpan w:val="7"/>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r w:rsidRPr="00E64AA3">
              <w:rPr>
                <w:rFonts w:ascii="MS Mincho" w:eastAsia="MS Mincho" w:hAnsi="MS Mincho" w:cs="MS Mincho"/>
                <w:sz w:val="20"/>
              </w:rPr>
              <w:t>✔</w:t>
            </w:r>
          </w:p>
        </w:tc>
        <w:tc>
          <w:tcPr>
            <w:tcW w:w="450" w:type="dxa"/>
            <w:gridSpan w:val="2"/>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732"/>
        </w:trPr>
        <w:tc>
          <w:tcPr>
            <w:tcW w:w="1628" w:type="dxa"/>
            <w:vMerge/>
            <w:shd w:val="clear" w:color="auto" w:fill="000000" w:themeFill="text1"/>
          </w:tcPr>
          <w:p w:rsidR="00617421" w:rsidRPr="000149D5"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4B1C12" w:rsidRDefault="00617421" w:rsidP="00505B0A">
            <w:pPr>
              <w:pStyle w:val="Rowcolumntitles"/>
              <w:jc w:val="center"/>
            </w:pPr>
          </w:p>
        </w:tc>
        <w:tc>
          <w:tcPr>
            <w:tcW w:w="361"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2388" w:type="dxa"/>
            <w:gridSpan w:val="7"/>
            <w:vMerge/>
            <w:shd w:val="clear" w:color="auto" w:fill="FBD4B4" w:themeFill="accent6" w:themeFillTint="66"/>
            <w:vAlign w:val="center"/>
          </w:tcPr>
          <w:p w:rsidR="00617421"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r w:rsidRPr="00E64AA3">
              <w:rPr>
                <w:rFonts w:ascii="MS Mincho" w:eastAsia="MS Mincho" w:hAnsi="MS Mincho" w:cs="MS Mincho"/>
                <w:sz w:val="20"/>
              </w:rPr>
              <w:t>✔</w:t>
            </w:r>
          </w:p>
        </w:tc>
        <w:tc>
          <w:tcPr>
            <w:tcW w:w="450" w:type="dxa"/>
            <w:gridSpan w:val="2"/>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1095"/>
        </w:trPr>
        <w:tc>
          <w:tcPr>
            <w:tcW w:w="1628" w:type="dxa"/>
            <w:vMerge w:val="restart"/>
            <w:shd w:val="clear" w:color="auto" w:fill="000000" w:themeFill="text1"/>
          </w:tcPr>
          <w:p w:rsidR="00617421" w:rsidRPr="00FF7B5E" w:rsidRDefault="00617421" w:rsidP="00505B0A">
            <w:pPr>
              <w:pStyle w:val="Rowcolumntitles"/>
              <w:rPr>
                <w:color w:val="FFFFFF" w:themeColor="background1"/>
              </w:rPr>
            </w:pPr>
            <w:r w:rsidRPr="00FF7B5E">
              <w:rPr>
                <w:rFonts w:hint="cs"/>
                <w:color w:val="FFFFFF" w:themeColor="background1"/>
              </w:rPr>
              <w:t>13. Publication of phone tapping data according to the nature of the crime and geographic area</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8957C9">
              <w:rPr>
                <w:rFonts w:ascii="MS Mincho" w:eastAsia="MS Mincho" w:hAnsi="MS Mincho" w:cs="MS Mincho"/>
                <w:sz w:val="20"/>
              </w:rPr>
              <w:t>✔</w:t>
            </w: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1094"/>
        </w:trPr>
        <w:tc>
          <w:tcPr>
            <w:tcW w:w="1628" w:type="dxa"/>
            <w:vMerge/>
            <w:shd w:val="clear" w:color="auto" w:fill="000000" w:themeFill="text1"/>
          </w:tcPr>
          <w:p w:rsidR="00617421" w:rsidRPr="00F26B4A"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4B1C12" w:rsidRDefault="00617421" w:rsidP="00505B0A">
            <w:pPr>
              <w:pStyle w:val="Rowcolumntitles"/>
              <w:jc w:val="center"/>
            </w:pPr>
          </w:p>
        </w:tc>
        <w:tc>
          <w:tcPr>
            <w:tcW w:w="361"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513" w:type="dxa"/>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vMerge/>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8957C9">
              <w:rPr>
                <w:rFonts w:ascii="MS Mincho" w:eastAsia="MS Mincho" w:hAnsi="MS Mincho" w:cs="MS Mincho"/>
                <w:sz w:val="20"/>
              </w:rPr>
              <w:t>✔</w:t>
            </w: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974"/>
        </w:trPr>
        <w:tc>
          <w:tcPr>
            <w:tcW w:w="1628" w:type="dxa"/>
            <w:vMerge w:val="restart"/>
            <w:shd w:val="clear" w:color="auto" w:fill="000000" w:themeFill="text1"/>
          </w:tcPr>
          <w:p w:rsidR="00617421" w:rsidRPr="004B1C12" w:rsidRDefault="00617421" w:rsidP="00505B0A">
            <w:pPr>
              <w:pStyle w:val="Rowcolumntitles"/>
              <w:rPr>
                <w:color w:val="FFFFFF" w:themeColor="background1"/>
              </w:rPr>
            </w:pPr>
            <w:r w:rsidRPr="00505B0A">
              <w:rPr>
                <w:rFonts w:ascii="Segoe UI Symbol" w:hAnsi="Segoe UI Symbol" w:cs="Segoe UI Symbol"/>
                <w:color w:val="FFFFFF" w:themeColor="background1"/>
              </w:rPr>
              <w:t>✪</w:t>
            </w:r>
            <w:r w:rsidRPr="00296858">
              <w:rPr>
                <w:color w:val="FFFFFF" w:themeColor="background1"/>
              </w:rPr>
              <w:t>14. Increasing citizen participation in supervision of public finances (public audit)</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A40475">
              <w:rPr>
                <w:rFonts w:ascii="MS Mincho" w:eastAsia="MS Mincho" w:hAnsi="MS Mincho" w:cs="MS Mincho"/>
                <w:sz w:val="20"/>
              </w:rPr>
              <w:t>✔</w:t>
            </w: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974"/>
        </w:trPr>
        <w:tc>
          <w:tcPr>
            <w:tcW w:w="1628" w:type="dxa"/>
            <w:vMerge/>
            <w:shd w:val="clear" w:color="auto" w:fill="000000" w:themeFill="text1"/>
          </w:tcPr>
          <w:p w:rsidR="00617421" w:rsidRPr="00505B0A"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4B1C12" w:rsidRDefault="00617421" w:rsidP="00505B0A">
            <w:pPr>
              <w:pStyle w:val="Rowcolumntitles"/>
              <w:jc w:val="center"/>
            </w:pPr>
          </w:p>
        </w:tc>
        <w:tc>
          <w:tcPr>
            <w:tcW w:w="361"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513" w:type="dxa"/>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1" w:type="dxa"/>
            <w:gridSpan w:val="2"/>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1094" w:type="dxa"/>
            <w:gridSpan w:val="2"/>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3"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vMerge/>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A40475">
              <w:rPr>
                <w:rFonts w:ascii="MS Mincho" w:eastAsia="MS Mincho" w:hAnsi="MS Mincho" w:cs="MS Mincho"/>
                <w:sz w:val="20"/>
              </w:rPr>
              <w:t>✔</w:t>
            </w: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853"/>
        </w:trPr>
        <w:tc>
          <w:tcPr>
            <w:tcW w:w="1628" w:type="dxa"/>
            <w:vMerge w:val="restart"/>
            <w:shd w:val="clear" w:color="auto" w:fill="000000" w:themeFill="text1"/>
          </w:tcPr>
          <w:p w:rsidR="00617421" w:rsidRPr="00FF7B5E" w:rsidRDefault="00617421" w:rsidP="00505B0A">
            <w:pPr>
              <w:pStyle w:val="Rowcolumntitles"/>
              <w:rPr>
                <w:color w:val="FFFFFF" w:themeColor="background1"/>
              </w:rPr>
            </w:pPr>
            <w:r w:rsidRPr="00FF7B5E">
              <w:rPr>
                <w:rFonts w:hint="cs"/>
                <w:color w:val="FFFFFF" w:themeColor="background1"/>
              </w:rPr>
              <w:t xml:space="preserve">15. Electronic innovations for </w:t>
            </w:r>
            <w:r w:rsidRPr="00FF7B5E">
              <w:rPr>
                <w:rFonts w:hint="cs"/>
                <w:color w:val="FFFFFF" w:themeColor="background1"/>
              </w:rPr>
              <w:lastRenderedPageBreak/>
              <w:t>more transparency and efficiency of Public Procurement</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853"/>
        </w:trPr>
        <w:tc>
          <w:tcPr>
            <w:tcW w:w="1628" w:type="dxa"/>
            <w:vMerge/>
            <w:shd w:val="clear" w:color="auto" w:fill="000000" w:themeFill="text1"/>
          </w:tcPr>
          <w:p w:rsidR="00617421" w:rsidRPr="00F26B4A"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4B1C12" w:rsidRDefault="00617421" w:rsidP="00505B0A">
            <w:pPr>
              <w:pStyle w:val="Rowcolumntitles"/>
              <w:jc w:val="center"/>
            </w:pPr>
          </w:p>
        </w:tc>
        <w:tc>
          <w:tcPr>
            <w:tcW w:w="361"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513" w:type="dxa"/>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93" w:type="dxa"/>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733"/>
        </w:trPr>
        <w:tc>
          <w:tcPr>
            <w:tcW w:w="1628" w:type="dxa"/>
            <w:vMerge w:val="restart"/>
            <w:shd w:val="clear" w:color="auto" w:fill="000000" w:themeFill="text1"/>
            <w:vAlign w:val="center"/>
          </w:tcPr>
          <w:p w:rsidR="00617421" w:rsidRPr="004B1C12" w:rsidRDefault="00617421" w:rsidP="00505B0A">
            <w:pPr>
              <w:pStyle w:val="Rowcolumntitles"/>
              <w:rPr>
                <w:color w:val="FFFFFF" w:themeColor="background1"/>
              </w:rPr>
            </w:pPr>
            <w:r w:rsidRPr="00505B0A">
              <w:rPr>
                <w:rFonts w:ascii="Segoe UI Symbol" w:hAnsi="Segoe UI Symbol" w:cs="Segoe UI Symbol"/>
                <w:color w:val="FFFFFF" w:themeColor="background1"/>
              </w:rPr>
              <w:lastRenderedPageBreak/>
              <w:t>✪</w:t>
            </w:r>
            <w:r w:rsidRPr="001821B2">
              <w:rPr>
                <w:color w:val="FFFFFF" w:themeColor="background1"/>
              </w:rPr>
              <w:t>16. Adoption of the Environmental Assessment Code</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270215">
              <w:rPr>
                <w:rFonts w:ascii="MS Mincho" w:eastAsia="MS Mincho" w:hAnsi="MS Mincho" w:cs="MS Mincho"/>
                <w:sz w:val="20"/>
              </w:rPr>
              <w:t>✔</w:t>
            </w:r>
          </w:p>
        </w:tc>
        <w:tc>
          <w:tcPr>
            <w:tcW w:w="593" w:type="dxa"/>
            <w:vMerge w:val="restart"/>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FF7B5E" w:rsidP="00505B0A">
            <w:pPr>
              <w:pStyle w:val="Rowcolumntitles"/>
              <w:jc w:val="center"/>
              <w:rPr>
                <w:rFonts w:eastAsia="Times New Roman"/>
              </w:rPr>
            </w:pPr>
            <w:r w:rsidRPr="008354AB">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8354AB"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8354AB" w:rsidRDefault="00617421" w:rsidP="00505B0A">
            <w:pPr>
              <w:pStyle w:val="Rowcolumntitles"/>
              <w:jc w:val="center"/>
              <w:rPr>
                <w:rFonts w:eastAsia="Times New Roman"/>
              </w:rPr>
            </w:pPr>
          </w:p>
        </w:tc>
      </w:tr>
      <w:tr w:rsidR="00617421" w:rsidRPr="004B1C12" w:rsidTr="00505B0A">
        <w:trPr>
          <w:trHeight w:val="732"/>
        </w:trPr>
        <w:tc>
          <w:tcPr>
            <w:tcW w:w="1628" w:type="dxa"/>
            <w:vMerge/>
            <w:shd w:val="clear" w:color="auto" w:fill="000000" w:themeFill="text1"/>
            <w:vAlign w:val="center"/>
          </w:tcPr>
          <w:p w:rsidR="00617421" w:rsidRPr="00505B0A"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4B1C12" w:rsidRDefault="00617421" w:rsidP="00505B0A">
            <w:pPr>
              <w:pStyle w:val="Rowcolumntitles"/>
              <w:jc w:val="center"/>
            </w:pPr>
          </w:p>
        </w:tc>
        <w:tc>
          <w:tcPr>
            <w:tcW w:w="361" w:type="dxa"/>
            <w:vMerge/>
            <w:shd w:val="clear" w:color="auto" w:fill="D6E3BC" w:themeFill="accent3"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513" w:type="dxa"/>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391"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3" w:type="dxa"/>
            <w:vMerge/>
            <w:shd w:val="clear" w:color="auto" w:fill="CCC0D9" w:themeFill="accent4"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vMerge/>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270215">
              <w:rPr>
                <w:rFonts w:ascii="MS Mincho" w:eastAsia="MS Mincho" w:hAnsi="MS Mincho" w:cs="MS Mincho"/>
                <w:sz w:val="20"/>
              </w:rPr>
              <w:t>✔</w:t>
            </w:r>
          </w:p>
        </w:tc>
        <w:tc>
          <w:tcPr>
            <w:tcW w:w="593" w:type="dxa"/>
            <w:vMerge/>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974"/>
        </w:trPr>
        <w:tc>
          <w:tcPr>
            <w:tcW w:w="1628" w:type="dxa"/>
            <w:vMerge w:val="restart"/>
            <w:shd w:val="clear" w:color="auto" w:fill="000000" w:themeFill="text1"/>
          </w:tcPr>
          <w:p w:rsidR="00617421" w:rsidRPr="004B1C12" w:rsidRDefault="00617421" w:rsidP="00505B0A">
            <w:pPr>
              <w:pStyle w:val="Rowcolumntitles"/>
              <w:rPr>
                <w:color w:val="FFFFFF" w:themeColor="background1"/>
              </w:rPr>
            </w:pPr>
            <w:r w:rsidRPr="001821B2">
              <w:rPr>
                <w:color w:val="FFFFFF" w:themeColor="background1"/>
              </w:rPr>
              <w:t>17. Introduction of a mobile app as an alternative channel to connect to “112”</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6E7C15">
              <w:rPr>
                <w:rFonts w:ascii="MS Mincho" w:eastAsia="MS Mincho" w:hAnsi="MS Mincho" w:cs="MS Mincho"/>
                <w:sz w:val="20"/>
              </w:rPr>
              <w:t>✔</w:t>
            </w: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2388" w:type="dxa"/>
            <w:gridSpan w:val="7"/>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C439CF">
        <w:trPr>
          <w:trHeight w:val="974"/>
        </w:trPr>
        <w:tc>
          <w:tcPr>
            <w:tcW w:w="1628" w:type="dxa"/>
            <w:vMerge/>
            <w:shd w:val="clear" w:color="auto" w:fill="000000" w:themeFill="text1"/>
          </w:tcPr>
          <w:p w:rsidR="00617421" w:rsidRPr="001821B2" w:rsidRDefault="00617421" w:rsidP="00505B0A">
            <w:pPr>
              <w:pStyle w:val="Rowcolumntitles"/>
              <w:rPr>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6E7C15"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2388" w:type="dxa"/>
            <w:gridSpan w:val="7"/>
            <w:vMerge/>
            <w:shd w:val="clear" w:color="auto" w:fill="FBD4B4" w:themeFill="accent6" w:themeFillTint="66"/>
            <w:vAlign w:val="center"/>
          </w:tcPr>
          <w:p w:rsidR="00617421"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6E7C15"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vMerge/>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B1F" w:rsidRPr="004B1C12" w:rsidTr="00617B1F">
        <w:trPr>
          <w:trHeight w:val="670"/>
        </w:trPr>
        <w:tc>
          <w:tcPr>
            <w:tcW w:w="1628" w:type="dxa"/>
            <w:vMerge w:val="restart"/>
            <w:shd w:val="clear" w:color="auto" w:fill="000000" w:themeFill="text1"/>
            <w:vAlign w:val="center"/>
          </w:tcPr>
          <w:p w:rsidR="00617B1F" w:rsidRPr="00565626" w:rsidRDefault="00617B1F" w:rsidP="00505B0A">
            <w:pPr>
              <w:pStyle w:val="Rowcolumntitles"/>
              <w:rPr>
                <w:color w:val="FFFFFF" w:themeColor="background1"/>
              </w:rPr>
            </w:pPr>
            <w:r w:rsidRPr="00565626">
              <w:rPr>
                <w:rFonts w:hint="cs"/>
                <w:color w:val="FFFFFF" w:themeColor="background1"/>
              </w:rPr>
              <w:t>18.Development of local councils for crime prevention</w:t>
            </w:r>
          </w:p>
        </w:tc>
        <w:tc>
          <w:tcPr>
            <w:tcW w:w="453" w:type="dxa"/>
            <w:vMerge w:val="restart"/>
            <w:shd w:val="clear" w:color="auto" w:fill="D6E3BC" w:themeFill="accent3" w:themeFillTint="66"/>
            <w:vAlign w:val="center"/>
          </w:tcPr>
          <w:p w:rsidR="00617B1F" w:rsidRPr="004B1C12" w:rsidRDefault="00617B1F" w:rsidP="00505B0A">
            <w:pPr>
              <w:pStyle w:val="Rowcolumntitles"/>
            </w:pPr>
          </w:p>
        </w:tc>
        <w:tc>
          <w:tcPr>
            <w:tcW w:w="456" w:type="dxa"/>
            <w:vMerge w:val="restart"/>
            <w:shd w:val="clear" w:color="auto" w:fill="D6E3BC" w:themeFill="accent3" w:themeFillTint="66"/>
            <w:vAlign w:val="center"/>
          </w:tcPr>
          <w:p w:rsidR="00617B1F" w:rsidRPr="004B1C12" w:rsidRDefault="00617B1F" w:rsidP="00505B0A">
            <w:pPr>
              <w:pStyle w:val="Rowcolumntitles"/>
              <w:rPr>
                <w:rFonts w:eastAsia="Times New Roman"/>
              </w:rPr>
            </w:pPr>
          </w:p>
        </w:tc>
        <w:tc>
          <w:tcPr>
            <w:tcW w:w="360" w:type="dxa"/>
            <w:vMerge w:val="restart"/>
            <w:shd w:val="clear" w:color="auto" w:fill="D6E3BC" w:themeFill="accent3" w:themeFillTint="66"/>
            <w:vAlign w:val="center"/>
          </w:tcPr>
          <w:p w:rsidR="00617B1F" w:rsidRPr="006E7C15" w:rsidRDefault="00617B1F" w:rsidP="00505B0A">
            <w:pPr>
              <w:pStyle w:val="Rowcolumntitles"/>
              <w:jc w:val="center"/>
              <w:rPr>
                <w:rFonts w:ascii="MS Mincho" w:eastAsia="MS Mincho" w:hAnsi="MS Mincho" w:cs="MS Mincho"/>
                <w:sz w:val="20"/>
              </w:rPr>
            </w:pPr>
            <w:r w:rsidRPr="00D034D3">
              <w:rPr>
                <w:rFonts w:ascii="MS Mincho" w:eastAsia="MS Mincho" w:hAnsi="MS Mincho" w:cs="MS Mincho"/>
                <w:noProof/>
                <w:szCs w:val="22"/>
              </w:rPr>
              <w:t>✔</w:t>
            </w:r>
          </w:p>
        </w:tc>
        <w:tc>
          <w:tcPr>
            <w:tcW w:w="361" w:type="dxa"/>
            <w:vMerge w:val="restart"/>
            <w:shd w:val="clear" w:color="auto" w:fill="D6E3BC" w:themeFill="accent3" w:themeFillTint="66"/>
            <w:vAlign w:val="center"/>
          </w:tcPr>
          <w:p w:rsidR="00617B1F" w:rsidRPr="004B1C12" w:rsidRDefault="00617B1F" w:rsidP="00505B0A">
            <w:pPr>
              <w:pStyle w:val="Rowcolumntitles"/>
              <w:jc w:val="center"/>
              <w:rPr>
                <w:rFonts w:eastAsia="Times New Roman"/>
              </w:rPr>
            </w:pPr>
          </w:p>
        </w:tc>
        <w:tc>
          <w:tcPr>
            <w:tcW w:w="513" w:type="dxa"/>
            <w:vMerge w:val="restart"/>
            <w:shd w:val="clear" w:color="auto" w:fill="FBD4B4" w:themeFill="accent6" w:themeFillTint="66"/>
            <w:vAlign w:val="center"/>
          </w:tcPr>
          <w:p w:rsidR="00617B1F" w:rsidRPr="006E7C15" w:rsidRDefault="00617B1F" w:rsidP="00505B0A">
            <w:pPr>
              <w:pStyle w:val="Rowcolumntitles"/>
              <w:jc w:val="center"/>
              <w:rPr>
                <w:rFonts w:ascii="MS Mincho" w:eastAsia="MS Mincho" w:hAnsi="MS Mincho" w:cs="MS Mincho"/>
                <w:sz w:val="20"/>
              </w:rPr>
            </w:pPr>
            <w:r w:rsidRPr="00D034D3">
              <w:rPr>
                <w:rFonts w:ascii="MS Mincho" w:eastAsia="MS Mincho" w:hAnsi="MS Mincho" w:cs="MS Mincho"/>
                <w:noProof/>
                <w:szCs w:val="22"/>
              </w:rPr>
              <w:t>✔</w:t>
            </w:r>
          </w:p>
        </w:tc>
        <w:tc>
          <w:tcPr>
            <w:tcW w:w="390" w:type="dxa"/>
            <w:gridSpan w:val="2"/>
            <w:vMerge w:val="restart"/>
            <w:shd w:val="clear" w:color="auto" w:fill="FBD4B4" w:themeFill="accent6" w:themeFillTint="66"/>
            <w:vAlign w:val="center"/>
          </w:tcPr>
          <w:p w:rsidR="00617B1F" w:rsidRPr="004B1C12" w:rsidRDefault="00617B1F" w:rsidP="00505B0A">
            <w:pPr>
              <w:pStyle w:val="Rowcolumntitles"/>
              <w:jc w:val="center"/>
              <w:rPr>
                <w:rFonts w:eastAsia="Times New Roman"/>
              </w:rPr>
            </w:pPr>
            <w:r w:rsidRPr="00D034D3">
              <w:rPr>
                <w:rFonts w:ascii="MS Mincho" w:eastAsia="MS Mincho" w:hAnsi="MS Mincho" w:cs="MS Mincho"/>
                <w:noProof/>
                <w:szCs w:val="22"/>
              </w:rPr>
              <w:t>✔</w:t>
            </w:r>
          </w:p>
        </w:tc>
        <w:tc>
          <w:tcPr>
            <w:tcW w:w="391" w:type="dxa"/>
            <w:gridSpan w:val="2"/>
            <w:vMerge w:val="restart"/>
            <w:shd w:val="clear" w:color="auto" w:fill="FBD4B4" w:themeFill="accent6" w:themeFillTint="66"/>
            <w:vAlign w:val="center"/>
          </w:tcPr>
          <w:p w:rsidR="00617B1F" w:rsidRPr="004B1C12" w:rsidRDefault="00617B1F"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B1F" w:rsidRPr="004B1C12" w:rsidRDefault="00617B1F"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B1F" w:rsidRPr="004B1C12" w:rsidRDefault="00617B1F" w:rsidP="00505B0A">
            <w:pPr>
              <w:pStyle w:val="Rowcolumntitles"/>
              <w:jc w:val="center"/>
            </w:pPr>
          </w:p>
        </w:tc>
        <w:tc>
          <w:tcPr>
            <w:tcW w:w="372" w:type="dxa"/>
            <w:vMerge w:val="restart"/>
            <w:shd w:val="clear" w:color="auto" w:fill="CCC0D9" w:themeFill="accent4" w:themeFillTint="66"/>
            <w:vAlign w:val="center"/>
          </w:tcPr>
          <w:p w:rsidR="00617B1F" w:rsidRPr="006E7C15" w:rsidRDefault="00617B1F" w:rsidP="00505B0A">
            <w:pPr>
              <w:pStyle w:val="Rowcolumntitles"/>
              <w:jc w:val="center"/>
              <w:rPr>
                <w:rFonts w:ascii="MS Mincho" w:eastAsia="MS Mincho" w:hAnsi="MS Mincho" w:cs="MS Mincho"/>
                <w:sz w:val="20"/>
              </w:rPr>
            </w:pPr>
          </w:p>
        </w:tc>
        <w:tc>
          <w:tcPr>
            <w:tcW w:w="372" w:type="dxa"/>
            <w:vMerge w:val="restart"/>
            <w:shd w:val="clear" w:color="auto" w:fill="CCC0D9" w:themeFill="accent4" w:themeFillTint="66"/>
            <w:vAlign w:val="center"/>
          </w:tcPr>
          <w:p w:rsidR="00617B1F" w:rsidRPr="004B1C12" w:rsidRDefault="00617B1F"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rsidR="00617B1F" w:rsidRPr="004B1C12" w:rsidRDefault="00617B1F"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B1F" w:rsidRPr="004B1C12" w:rsidRDefault="00617B1F" w:rsidP="00505B0A">
            <w:pPr>
              <w:pStyle w:val="Rowcolumntitles"/>
              <w:jc w:val="center"/>
            </w:pPr>
          </w:p>
        </w:tc>
        <w:tc>
          <w:tcPr>
            <w:tcW w:w="630" w:type="dxa"/>
            <w:vMerge w:val="restart"/>
            <w:shd w:val="clear" w:color="auto" w:fill="B8CCE4" w:themeFill="accent1" w:themeFillTint="66"/>
            <w:vAlign w:val="center"/>
          </w:tcPr>
          <w:p w:rsidR="00617B1F" w:rsidRPr="0010229D" w:rsidRDefault="00617B1F"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rsidR="00617B1F" w:rsidRPr="006E7C15" w:rsidRDefault="00617B1F" w:rsidP="00505B0A">
            <w:pPr>
              <w:pStyle w:val="Rowcolumntitles"/>
              <w:jc w:val="center"/>
              <w:rPr>
                <w:rFonts w:ascii="MS Mincho" w:eastAsia="MS Mincho" w:hAnsi="MS Mincho" w:cs="MS Mincho"/>
                <w:sz w:val="20"/>
              </w:rPr>
            </w:pPr>
          </w:p>
        </w:tc>
        <w:tc>
          <w:tcPr>
            <w:tcW w:w="593" w:type="dxa"/>
            <w:shd w:val="clear" w:color="auto" w:fill="B8CCE4" w:themeFill="accent1" w:themeFillTint="66"/>
            <w:vAlign w:val="center"/>
          </w:tcPr>
          <w:p w:rsidR="00617B1F" w:rsidRPr="004B1C12" w:rsidRDefault="00617B1F" w:rsidP="00505B0A">
            <w:pPr>
              <w:pStyle w:val="Rowcolumntitles"/>
              <w:jc w:val="center"/>
              <w:rPr>
                <w:rFonts w:eastAsia="Times New Roman"/>
              </w:rPr>
            </w:pPr>
            <w:r w:rsidRPr="0010229D">
              <w:rPr>
                <w:rFonts w:ascii="MS Mincho" w:eastAsia="MS Mincho" w:hAnsi="MS Mincho" w:cs="MS Mincho"/>
                <w:sz w:val="20"/>
              </w:rPr>
              <w:t>✔</w:t>
            </w:r>
          </w:p>
        </w:tc>
        <w:tc>
          <w:tcPr>
            <w:tcW w:w="406" w:type="dxa"/>
            <w:vMerge w:val="restart"/>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B1F" w:rsidRPr="006E7C15" w:rsidRDefault="00617B1F" w:rsidP="00505B0A">
            <w:pPr>
              <w:pStyle w:val="Rowcolumntitles"/>
              <w:jc w:val="center"/>
              <w:rPr>
                <w:rFonts w:ascii="MS Mincho" w:eastAsia="MS Mincho" w:hAnsi="MS Mincho" w:cs="MS Mincho"/>
                <w:sz w:val="20"/>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435" w:type="dxa"/>
            <w:vMerge w:val="restart"/>
            <w:shd w:val="clear" w:color="auto" w:fill="D99594" w:themeFill="accent2" w:themeFillTint="99"/>
          </w:tcPr>
          <w:p w:rsidR="00617B1F" w:rsidRPr="004B1C12" w:rsidRDefault="00617B1F" w:rsidP="00505B0A">
            <w:pPr>
              <w:pStyle w:val="Rowcolumntitles"/>
              <w:jc w:val="center"/>
              <w:rPr>
                <w:rFonts w:eastAsia="Times New Roman"/>
              </w:rPr>
            </w:pPr>
          </w:p>
        </w:tc>
      </w:tr>
      <w:tr w:rsidR="00617B1F" w:rsidRPr="004B1C12" w:rsidTr="00617B1F">
        <w:trPr>
          <w:trHeight w:val="670"/>
        </w:trPr>
        <w:tc>
          <w:tcPr>
            <w:tcW w:w="1628" w:type="dxa"/>
            <w:vMerge/>
            <w:shd w:val="clear" w:color="auto" w:fill="000000" w:themeFill="text1"/>
            <w:vAlign w:val="center"/>
          </w:tcPr>
          <w:p w:rsidR="00617B1F" w:rsidRDefault="00617B1F"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rsidR="00617B1F" w:rsidRPr="004B1C12" w:rsidRDefault="00617B1F" w:rsidP="00505B0A">
            <w:pPr>
              <w:pStyle w:val="Rowcolumntitles"/>
            </w:pPr>
          </w:p>
        </w:tc>
        <w:tc>
          <w:tcPr>
            <w:tcW w:w="456" w:type="dxa"/>
            <w:vMerge/>
            <w:shd w:val="clear" w:color="auto" w:fill="D6E3BC" w:themeFill="accent3" w:themeFillTint="66"/>
            <w:vAlign w:val="center"/>
          </w:tcPr>
          <w:p w:rsidR="00617B1F" w:rsidRPr="004B1C12" w:rsidRDefault="00617B1F" w:rsidP="00505B0A">
            <w:pPr>
              <w:pStyle w:val="Rowcolumntitles"/>
              <w:rPr>
                <w:rFonts w:eastAsia="Times New Roman"/>
              </w:rPr>
            </w:pPr>
          </w:p>
        </w:tc>
        <w:tc>
          <w:tcPr>
            <w:tcW w:w="360" w:type="dxa"/>
            <w:vMerge/>
            <w:shd w:val="clear" w:color="auto" w:fill="D6E3BC" w:themeFill="accent3" w:themeFillTint="66"/>
            <w:vAlign w:val="center"/>
          </w:tcPr>
          <w:p w:rsidR="00617B1F" w:rsidRPr="00D034D3" w:rsidRDefault="00617B1F" w:rsidP="00505B0A">
            <w:pPr>
              <w:pStyle w:val="Rowcolumntitles"/>
              <w:jc w:val="center"/>
              <w:rPr>
                <w:rFonts w:ascii="MS Mincho" w:eastAsia="MS Mincho" w:hAnsi="MS Mincho" w:cs="MS Mincho"/>
                <w:noProof/>
                <w:szCs w:val="22"/>
              </w:rPr>
            </w:pPr>
          </w:p>
        </w:tc>
        <w:tc>
          <w:tcPr>
            <w:tcW w:w="361" w:type="dxa"/>
            <w:vMerge/>
            <w:shd w:val="clear" w:color="auto" w:fill="D6E3BC" w:themeFill="accent3" w:themeFillTint="66"/>
            <w:vAlign w:val="center"/>
          </w:tcPr>
          <w:p w:rsidR="00617B1F" w:rsidRPr="004B1C12" w:rsidRDefault="00617B1F" w:rsidP="00505B0A">
            <w:pPr>
              <w:pStyle w:val="Rowcolumntitles"/>
              <w:jc w:val="center"/>
              <w:rPr>
                <w:rFonts w:eastAsia="Times New Roman"/>
              </w:rPr>
            </w:pPr>
          </w:p>
        </w:tc>
        <w:tc>
          <w:tcPr>
            <w:tcW w:w="513" w:type="dxa"/>
            <w:vMerge/>
            <w:shd w:val="clear" w:color="auto" w:fill="FBD4B4" w:themeFill="accent6" w:themeFillTint="66"/>
            <w:vAlign w:val="center"/>
          </w:tcPr>
          <w:p w:rsidR="00617B1F" w:rsidRPr="00D034D3" w:rsidRDefault="00617B1F" w:rsidP="00505B0A">
            <w:pPr>
              <w:pStyle w:val="Rowcolumntitles"/>
              <w:jc w:val="center"/>
              <w:rPr>
                <w:rFonts w:ascii="MS Mincho" w:eastAsia="MS Mincho" w:hAnsi="MS Mincho" w:cs="MS Mincho"/>
                <w:noProof/>
                <w:szCs w:val="22"/>
              </w:rPr>
            </w:pPr>
          </w:p>
        </w:tc>
        <w:tc>
          <w:tcPr>
            <w:tcW w:w="390" w:type="dxa"/>
            <w:gridSpan w:val="2"/>
            <w:vMerge/>
            <w:shd w:val="clear" w:color="auto" w:fill="FBD4B4" w:themeFill="accent6" w:themeFillTint="66"/>
            <w:vAlign w:val="center"/>
          </w:tcPr>
          <w:p w:rsidR="00617B1F" w:rsidRPr="00D034D3" w:rsidRDefault="00617B1F" w:rsidP="00505B0A">
            <w:pPr>
              <w:pStyle w:val="Rowcolumntitles"/>
              <w:jc w:val="center"/>
              <w:rPr>
                <w:rFonts w:ascii="MS Mincho" w:eastAsia="MS Mincho" w:hAnsi="MS Mincho" w:cs="MS Mincho"/>
                <w:noProof/>
                <w:szCs w:val="22"/>
              </w:rPr>
            </w:pPr>
          </w:p>
        </w:tc>
        <w:tc>
          <w:tcPr>
            <w:tcW w:w="391" w:type="dxa"/>
            <w:gridSpan w:val="2"/>
            <w:vMerge/>
            <w:shd w:val="clear" w:color="auto" w:fill="FBD4B4" w:themeFill="accent6" w:themeFillTint="66"/>
            <w:vAlign w:val="center"/>
          </w:tcPr>
          <w:p w:rsidR="00617B1F" w:rsidRPr="004B1C12" w:rsidRDefault="00617B1F" w:rsidP="00505B0A">
            <w:pPr>
              <w:pStyle w:val="Rowcolumntitles"/>
              <w:jc w:val="center"/>
              <w:rPr>
                <w:rFonts w:eastAsia="Times New Roman"/>
              </w:rPr>
            </w:pPr>
          </w:p>
        </w:tc>
        <w:tc>
          <w:tcPr>
            <w:tcW w:w="1094" w:type="dxa"/>
            <w:gridSpan w:val="2"/>
            <w:vMerge/>
            <w:shd w:val="clear" w:color="auto" w:fill="FBD4B4" w:themeFill="accent6" w:themeFillTint="66"/>
            <w:vAlign w:val="center"/>
          </w:tcPr>
          <w:p w:rsidR="00617B1F" w:rsidRPr="004B1C12" w:rsidRDefault="00617B1F" w:rsidP="00505B0A">
            <w:pPr>
              <w:pStyle w:val="Rowcolumntitles"/>
              <w:jc w:val="center"/>
              <w:rPr>
                <w:rFonts w:eastAsia="Times New Roman"/>
              </w:rPr>
            </w:pPr>
          </w:p>
        </w:tc>
        <w:tc>
          <w:tcPr>
            <w:tcW w:w="372" w:type="dxa"/>
            <w:vMerge/>
            <w:shd w:val="clear" w:color="auto" w:fill="CCC0D9" w:themeFill="accent4" w:themeFillTint="66"/>
            <w:vAlign w:val="center"/>
          </w:tcPr>
          <w:p w:rsidR="00617B1F" w:rsidRPr="004B1C12" w:rsidRDefault="00617B1F" w:rsidP="00505B0A">
            <w:pPr>
              <w:pStyle w:val="Rowcolumntitles"/>
              <w:jc w:val="center"/>
            </w:pPr>
          </w:p>
        </w:tc>
        <w:tc>
          <w:tcPr>
            <w:tcW w:w="372" w:type="dxa"/>
            <w:vMerge/>
            <w:shd w:val="clear" w:color="auto" w:fill="CCC0D9" w:themeFill="accent4" w:themeFillTint="66"/>
            <w:vAlign w:val="center"/>
          </w:tcPr>
          <w:p w:rsidR="00617B1F" w:rsidRPr="006E7C15" w:rsidRDefault="00617B1F"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617B1F" w:rsidRPr="0010229D" w:rsidRDefault="00617B1F"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rsidR="00617B1F" w:rsidRPr="004B1C12" w:rsidRDefault="00617B1F" w:rsidP="00505B0A">
            <w:pPr>
              <w:pStyle w:val="Rowcolumntitles"/>
              <w:jc w:val="center"/>
              <w:rPr>
                <w:rFonts w:eastAsia="Times New Roman"/>
              </w:rPr>
            </w:pPr>
          </w:p>
        </w:tc>
        <w:tc>
          <w:tcPr>
            <w:tcW w:w="573" w:type="dxa"/>
            <w:vMerge/>
            <w:shd w:val="clear" w:color="auto" w:fill="B8CCE4" w:themeFill="accent1" w:themeFillTint="66"/>
            <w:vAlign w:val="center"/>
          </w:tcPr>
          <w:p w:rsidR="00617B1F" w:rsidRPr="004B1C12" w:rsidRDefault="00617B1F" w:rsidP="00505B0A">
            <w:pPr>
              <w:pStyle w:val="Rowcolumntitles"/>
              <w:jc w:val="center"/>
            </w:pPr>
          </w:p>
        </w:tc>
        <w:tc>
          <w:tcPr>
            <w:tcW w:w="630" w:type="dxa"/>
            <w:vMerge/>
            <w:shd w:val="clear" w:color="auto" w:fill="B8CCE4" w:themeFill="accent1" w:themeFillTint="66"/>
            <w:vAlign w:val="center"/>
          </w:tcPr>
          <w:p w:rsidR="00617B1F" w:rsidRPr="0010229D" w:rsidRDefault="00617B1F"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rsidR="00617B1F" w:rsidRPr="006E7C15" w:rsidRDefault="00617B1F" w:rsidP="00505B0A">
            <w:pPr>
              <w:pStyle w:val="Rowcolumntitles"/>
              <w:jc w:val="center"/>
              <w:rPr>
                <w:rFonts w:ascii="MS Mincho" w:eastAsia="MS Mincho" w:hAnsi="MS Mincho" w:cs="MS Mincho"/>
                <w:sz w:val="20"/>
              </w:rPr>
            </w:pPr>
          </w:p>
        </w:tc>
        <w:tc>
          <w:tcPr>
            <w:tcW w:w="593" w:type="dxa"/>
            <w:shd w:val="clear" w:color="auto" w:fill="B8CCE4" w:themeFill="accent1" w:themeFillTint="66"/>
            <w:vAlign w:val="center"/>
          </w:tcPr>
          <w:p w:rsidR="00617B1F" w:rsidRPr="0010229D" w:rsidRDefault="00617B1F" w:rsidP="00505B0A">
            <w:pPr>
              <w:pStyle w:val="Rowcolumntitles"/>
              <w:jc w:val="center"/>
              <w:rPr>
                <w:rFonts w:ascii="MS Mincho" w:eastAsia="MS Mincho" w:hAnsi="MS Mincho" w:cs="MS Mincho"/>
                <w:sz w:val="20"/>
              </w:rPr>
            </w:pPr>
            <w:r w:rsidRPr="0010229D">
              <w:rPr>
                <w:rFonts w:ascii="Menlo Bold" w:eastAsia="MS Mincho" w:hAnsi="Menlo Bold" w:cs="Menlo Bold"/>
                <w:sz w:val="20"/>
              </w:rPr>
              <w:t>✔</w:t>
            </w:r>
          </w:p>
        </w:tc>
        <w:tc>
          <w:tcPr>
            <w:tcW w:w="406" w:type="dxa"/>
            <w:vMerge/>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343" w:type="dxa"/>
            <w:vMerge/>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343" w:type="dxa"/>
            <w:vMerge/>
            <w:shd w:val="clear" w:color="auto" w:fill="D99594" w:themeFill="accent2" w:themeFillTint="99"/>
            <w:vAlign w:val="center"/>
          </w:tcPr>
          <w:p w:rsidR="00617B1F" w:rsidRPr="0010229D" w:rsidRDefault="00617B1F" w:rsidP="00505B0A">
            <w:pPr>
              <w:pStyle w:val="Rowcolumntitles"/>
              <w:jc w:val="center"/>
              <w:rPr>
                <w:rFonts w:ascii="MS Mincho" w:eastAsia="MS Mincho" w:hAnsi="MS Mincho" w:cs="MS Mincho"/>
                <w:sz w:val="20"/>
              </w:rPr>
            </w:pPr>
          </w:p>
        </w:tc>
        <w:tc>
          <w:tcPr>
            <w:tcW w:w="343" w:type="dxa"/>
            <w:vMerge/>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435" w:type="dxa"/>
            <w:vMerge/>
            <w:shd w:val="clear" w:color="auto" w:fill="D99594" w:themeFill="accent2" w:themeFillTint="99"/>
          </w:tcPr>
          <w:p w:rsidR="00617B1F" w:rsidRPr="004B1C12" w:rsidRDefault="00617B1F" w:rsidP="00505B0A">
            <w:pPr>
              <w:pStyle w:val="Rowcolumntitles"/>
              <w:jc w:val="center"/>
              <w:rPr>
                <w:rFonts w:eastAsia="Times New Roman"/>
              </w:rPr>
            </w:pPr>
          </w:p>
        </w:tc>
      </w:tr>
      <w:tr w:rsidR="00617421" w:rsidRPr="004B1C12" w:rsidTr="00505B0A">
        <w:trPr>
          <w:trHeight w:val="733"/>
        </w:trPr>
        <w:tc>
          <w:tcPr>
            <w:tcW w:w="1628" w:type="dxa"/>
            <w:vMerge w:val="restart"/>
            <w:shd w:val="clear" w:color="auto" w:fill="000000" w:themeFill="text1"/>
          </w:tcPr>
          <w:p w:rsidR="00617421" w:rsidRPr="004B1C12" w:rsidRDefault="00617421" w:rsidP="00505B0A">
            <w:pPr>
              <w:pStyle w:val="Rowcolumntitles"/>
              <w:rPr>
                <w:color w:val="FFFFFF" w:themeColor="background1"/>
              </w:rPr>
            </w:pPr>
            <w:r w:rsidRPr="001821B2">
              <w:rPr>
                <w:color w:val="FFFFFF" w:themeColor="background1"/>
              </w:rPr>
              <w:t>19. Development of a guidebook for economic agents</w:t>
            </w:r>
          </w:p>
        </w:tc>
        <w:tc>
          <w:tcPr>
            <w:tcW w:w="453" w:type="dxa"/>
            <w:vMerge w:val="restart"/>
            <w:shd w:val="clear" w:color="auto" w:fill="D6E3BC" w:themeFill="accent3" w:themeFillTint="66"/>
          </w:tcPr>
          <w:p w:rsidR="00617421" w:rsidRPr="004B1C12" w:rsidRDefault="00617421" w:rsidP="00505B0A">
            <w:pPr>
              <w:pStyle w:val="Rowcolumntitles"/>
            </w:pPr>
          </w:p>
        </w:tc>
        <w:tc>
          <w:tcPr>
            <w:tcW w:w="456" w:type="dxa"/>
            <w:vMerge w:val="restart"/>
            <w:shd w:val="clear" w:color="auto" w:fill="D6E3BC" w:themeFill="accent3" w:themeFillTint="66"/>
          </w:tcPr>
          <w:p w:rsidR="00617421" w:rsidRPr="004B1C12" w:rsidRDefault="00617421" w:rsidP="00505B0A">
            <w:pPr>
              <w:pStyle w:val="Rowcolumntitles"/>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r w:rsidRPr="006E7C15">
              <w:rPr>
                <w:rFonts w:ascii="MS Mincho" w:eastAsia="MS Mincho" w:hAnsi="MS Mincho" w:cs="MS Mincho"/>
                <w:sz w:val="20"/>
              </w:rPr>
              <w:t>✔</w:t>
            </w: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90"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732"/>
        </w:trPr>
        <w:tc>
          <w:tcPr>
            <w:tcW w:w="1628" w:type="dxa"/>
            <w:vMerge/>
            <w:shd w:val="clear" w:color="auto" w:fill="000000" w:themeFill="text1"/>
          </w:tcPr>
          <w:p w:rsidR="00617421" w:rsidRPr="001821B2" w:rsidRDefault="00617421" w:rsidP="00505B0A">
            <w:pPr>
              <w:pStyle w:val="Rowcolumntitles"/>
              <w:rPr>
                <w:color w:val="FFFFFF" w:themeColor="background1"/>
              </w:rPr>
            </w:pPr>
          </w:p>
        </w:tc>
        <w:tc>
          <w:tcPr>
            <w:tcW w:w="453" w:type="dxa"/>
            <w:vMerge/>
            <w:shd w:val="clear" w:color="auto" w:fill="D6E3BC" w:themeFill="accent3" w:themeFillTint="66"/>
          </w:tcPr>
          <w:p w:rsidR="00617421" w:rsidRPr="004B1C12" w:rsidRDefault="00617421" w:rsidP="00505B0A">
            <w:pPr>
              <w:pStyle w:val="Rowcolumntitles"/>
            </w:pPr>
          </w:p>
        </w:tc>
        <w:tc>
          <w:tcPr>
            <w:tcW w:w="456" w:type="dxa"/>
            <w:vMerge/>
            <w:shd w:val="clear" w:color="auto" w:fill="D6E3BC" w:themeFill="accent3" w:themeFillTint="66"/>
          </w:tcPr>
          <w:p w:rsidR="00617421" w:rsidRPr="004B1C12" w:rsidRDefault="00617421" w:rsidP="00505B0A">
            <w:pPr>
              <w:pStyle w:val="Rowcolumntitles"/>
              <w:rPr>
                <w:rFonts w:eastAsia="Times New Roman"/>
              </w:rPr>
            </w:pPr>
          </w:p>
        </w:tc>
        <w:tc>
          <w:tcPr>
            <w:tcW w:w="360" w:type="dxa"/>
            <w:vMerge/>
            <w:shd w:val="clear" w:color="auto" w:fill="D6E3BC" w:themeFill="accent3" w:themeFillTint="66"/>
            <w:vAlign w:val="center"/>
          </w:tcPr>
          <w:p w:rsidR="00617421" w:rsidRPr="006E7C15"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rsidR="00617421" w:rsidRPr="006E7C15"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6E7C15"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vMerge/>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505B0A">
        <w:trPr>
          <w:trHeight w:val="974"/>
        </w:trPr>
        <w:tc>
          <w:tcPr>
            <w:tcW w:w="1628" w:type="dxa"/>
            <w:vMerge w:val="restart"/>
            <w:shd w:val="clear" w:color="auto" w:fill="000000" w:themeFill="text1"/>
          </w:tcPr>
          <w:p w:rsidR="00617421" w:rsidRPr="004B1C12" w:rsidRDefault="00617421" w:rsidP="00505B0A">
            <w:pPr>
              <w:pStyle w:val="Rowcolumntitles"/>
              <w:rPr>
                <w:color w:val="FFFFFF" w:themeColor="background1"/>
              </w:rPr>
            </w:pPr>
            <w:r w:rsidRPr="001821B2">
              <w:rPr>
                <w:color w:val="FFFFFF" w:themeColor="background1"/>
              </w:rPr>
              <w:t>20. Development and introduction of the quality control program of commercial</w:t>
            </w:r>
          </w:p>
        </w:tc>
        <w:tc>
          <w:tcPr>
            <w:tcW w:w="453" w:type="dxa"/>
            <w:vMerge w:val="restart"/>
            <w:shd w:val="clear" w:color="auto" w:fill="D6E3BC" w:themeFill="accent3" w:themeFillTint="66"/>
            <w:vAlign w:val="center"/>
          </w:tcPr>
          <w:p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2388" w:type="dxa"/>
            <w:gridSpan w:val="7"/>
            <w:vMerge w:val="restart"/>
            <w:shd w:val="clear" w:color="auto" w:fill="FBD4B4" w:themeFill="accent6" w:themeFillTint="66"/>
            <w:vAlign w:val="center"/>
          </w:tcPr>
          <w:p w:rsidR="00617421" w:rsidRPr="004B1C12" w:rsidRDefault="00617421"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421" w:rsidRPr="004B1C12" w:rsidRDefault="00617421" w:rsidP="00505B0A">
            <w:pPr>
              <w:pStyle w:val="Rowcolumntitles"/>
              <w:jc w:val="center"/>
            </w:pPr>
            <w:r w:rsidRPr="006E7C15">
              <w:rPr>
                <w:rFonts w:ascii="MS Mincho" w:eastAsia="MS Mincho" w:hAnsi="MS Mincho" w:cs="MS Mincho"/>
                <w:sz w:val="20"/>
              </w:rPr>
              <w:t>✔</w:t>
            </w:r>
          </w:p>
        </w:tc>
        <w:tc>
          <w:tcPr>
            <w:tcW w:w="373" w:type="dxa"/>
            <w:vMerge w:val="restart"/>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421" w:rsidRPr="004B1C12" w:rsidTr="00C439CF">
        <w:trPr>
          <w:trHeight w:val="974"/>
        </w:trPr>
        <w:tc>
          <w:tcPr>
            <w:tcW w:w="1628" w:type="dxa"/>
            <w:vMerge/>
            <w:shd w:val="clear" w:color="auto" w:fill="000000" w:themeFill="text1"/>
          </w:tcPr>
          <w:p w:rsidR="00617421" w:rsidRPr="001821B2" w:rsidRDefault="00617421" w:rsidP="00505B0A">
            <w:pPr>
              <w:pStyle w:val="Rowcolumntitles"/>
              <w:rPr>
                <w:color w:val="FFFFFF" w:themeColor="background1"/>
              </w:rPr>
            </w:pPr>
          </w:p>
        </w:tc>
        <w:tc>
          <w:tcPr>
            <w:tcW w:w="453" w:type="dxa"/>
            <w:vMerge/>
            <w:shd w:val="clear" w:color="auto" w:fill="D6E3BC" w:themeFill="accent3" w:themeFillTint="66"/>
            <w:vAlign w:val="center"/>
          </w:tcPr>
          <w:p w:rsidR="00617421" w:rsidRPr="004B1C12" w:rsidRDefault="00617421" w:rsidP="00505B0A">
            <w:pPr>
              <w:pStyle w:val="Rowcolumntitles"/>
              <w:jc w:val="center"/>
            </w:pPr>
          </w:p>
        </w:tc>
        <w:tc>
          <w:tcPr>
            <w:tcW w:w="456" w:type="dxa"/>
            <w:vMerge/>
            <w:shd w:val="clear" w:color="auto" w:fill="D6E3BC" w:themeFill="accent3" w:themeFillTint="66"/>
            <w:vAlign w:val="center"/>
          </w:tcPr>
          <w:p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rsidR="00617421" w:rsidRPr="004B1C12" w:rsidRDefault="00617421" w:rsidP="00505B0A">
            <w:pPr>
              <w:pStyle w:val="Rowcolumntitles"/>
              <w:jc w:val="center"/>
            </w:pPr>
          </w:p>
        </w:tc>
        <w:tc>
          <w:tcPr>
            <w:tcW w:w="361" w:type="dxa"/>
            <w:vMerge/>
            <w:shd w:val="clear" w:color="auto" w:fill="D6E3BC" w:themeFill="accent3" w:themeFillTint="66"/>
            <w:vAlign w:val="center"/>
          </w:tcPr>
          <w:p w:rsidR="00617421" w:rsidRPr="006E7C15" w:rsidRDefault="00617421" w:rsidP="00505B0A">
            <w:pPr>
              <w:pStyle w:val="Rowcolumntitles"/>
              <w:jc w:val="center"/>
              <w:rPr>
                <w:rFonts w:ascii="MS Mincho" w:eastAsia="MS Mincho" w:hAnsi="MS Mincho" w:cs="MS Mincho"/>
                <w:sz w:val="20"/>
              </w:rPr>
            </w:pPr>
          </w:p>
        </w:tc>
        <w:tc>
          <w:tcPr>
            <w:tcW w:w="2388" w:type="dxa"/>
            <w:gridSpan w:val="7"/>
            <w:vMerge/>
            <w:shd w:val="clear" w:color="auto" w:fill="FBD4B4" w:themeFill="accent6"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4B1C12" w:rsidRDefault="00617421" w:rsidP="00505B0A">
            <w:pPr>
              <w:pStyle w:val="Rowcolumntitles"/>
              <w:jc w:val="center"/>
            </w:pPr>
          </w:p>
        </w:tc>
        <w:tc>
          <w:tcPr>
            <w:tcW w:w="372"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rsidR="00617421" w:rsidRPr="006E7C15"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rsidR="00617421" w:rsidRPr="004B1C12" w:rsidRDefault="00617421" w:rsidP="00505B0A">
            <w:pPr>
              <w:pStyle w:val="Rowcolumntitles"/>
              <w:jc w:val="center"/>
            </w:pPr>
          </w:p>
        </w:tc>
        <w:tc>
          <w:tcPr>
            <w:tcW w:w="630" w:type="dxa"/>
            <w:vMerge/>
            <w:shd w:val="clear" w:color="auto" w:fill="B8CCE4" w:themeFill="accent1" w:themeFillTint="66"/>
            <w:vAlign w:val="center"/>
          </w:tcPr>
          <w:p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406"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rsidR="00617421" w:rsidRPr="004B1C12" w:rsidRDefault="00617421" w:rsidP="00505B0A">
            <w:pPr>
              <w:pStyle w:val="Rowcolumntitles"/>
              <w:jc w:val="center"/>
              <w:rPr>
                <w:rFonts w:eastAsia="Times New Roman"/>
              </w:rPr>
            </w:pPr>
          </w:p>
        </w:tc>
      </w:tr>
      <w:tr w:rsidR="00617B1F" w:rsidRPr="004B1C12" w:rsidTr="00617B1F">
        <w:trPr>
          <w:trHeight w:val="1140"/>
        </w:trPr>
        <w:tc>
          <w:tcPr>
            <w:tcW w:w="1628" w:type="dxa"/>
            <w:vMerge w:val="restart"/>
            <w:shd w:val="clear" w:color="auto" w:fill="000000" w:themeFill="text1"/>
          </w:tcPr>
          <w:p w:rsidR="00617B1F" w:rsidRPr="001821B2" w:rsidRDefault="00617B1F" w:rsidP="00C439CF">
            <w:pPr>
              <w:rPr>
                <w:color w:val="FFFFFF" w:themeColor="background1"/>
              </w:rPr>
            </w:pPr>
            <w:r w:rsidRPr="001821B2">
              <w:rPr>
                <w:color w:val="FFFFFF" w:themeColor="background1"/>
              </w:rPr>
              <w:t>21. Development and introduction of the quality control program of commercial service</w:t>
            </w:r>
          </w:p>
        </w:tc>
        <w:tc>
          <w:tcPr>
            <w:tcW w:w="453" w:type="dxa"/>
            <w:vMerge w:val="restart"/>
            <w:shd w:val="clear" w:color="auto" w:fill="D6E3BC" w:themeFill="accent3" w:themeFillTint="66"/>
            <w:vAlign w:val="center"/>
          </w:tcPr>
          <w:p w:rsidR="00617B1F" w:rsidRPr="004B1C12" w:rsidRDefault="00617B1F" w:rsidP="00505B0A">
            <w:pPr>
              <w:pStyle w:val="Rowcolumntitles"/>
              <w:jc w:val="center"/>
            </w:pPr>
          </w:p>
        </w:tc>
        <w:tc>
          <w:tcPr>
            <w:tcW w:w="456" w:type="dxa"/>
            <w:vMerge w:val="restart"/>
            <w:shd w:val="clear" w:color="auto" w:fill="D6E3BC" w:themeFill="accent3" w:themeFillTint="66"/>
            <w:vAlign w:val="center"/>
          </w:tcPr>
          <w:p w:rsidR="00617B1F" w:rsidRPr="004B1C12" w:rsidRDefault="00617B1F" w:rsidP="00505B0A">
            <w:pPr>
              <w:pStyle w:val="Rowcolumntitles"/>
              <w:jc w:val="center"/>
              <w:rPr>
                <w:rFonts w:eastAsia="Times New Roman"/>
              </w:rPr>
            </w:pPr>
          </w:p>
        </w:tc>
        <w:tc>
          <w:tcPr>
            <w:tcW w:w="360" w:type="dxa"/>
            <w:vMerge w:val="restart"/>
            <w:shd w:val="clear" w:color="auto" w:fill="D6E3BC" w:themeFill="accent3" w:themeFillTint="66"/>
            <w:vAlign w:val="center"/>
          </w:tcPr>
          <w:p w:rsidR="00617B1F" w:rsidRPr="004B1C12" w:rsidRDefault="00617B1F" w:rsidP="00505B0A">
            <w:pPr>
              <w:pStyle w:val="Rowcolumntitles"/>
              <w:jc w:val="center"/>
            </w:pPr>
          </w:p>
        </w:tc>
        <w:tc>
          <w:tcPr>
            <w:tcW w:w="361" w:type="dxa"/>
            <w:vMerge w:val="restart"/>
            <w:shd w:val="clear" w:color="auto" w:fill="D6E3BC" w:themeFill="accent3" w:themeFillTint="66"/>
            <w:vAlign w:val="center"/>
          </w:tcPr>
          <w:p w:rsidR="00617B1F" w:rsidRPr="006E7C15" w:rsidRDefault="00617B1F" w:rsidP="00505B0A">
            <w:pPr>
              <w:pStyle w:val="Rowcolumntitles"/>
              <w:jc w:val="center"/>
              <w:rPr>
                <w:rFonts w:ascii="MS Mincho" w:eastAsia="MS Mincho" w:hAnsi="MS Mincho" w:cs="MS Mincho"/>
                <w:sz w:val="20"/>
              </w:rPr>
            </w:pPr>
            <w:r w:rsidRPr="006E7C15">
              <w:rPr>
                <w:rFonts w:ascii="MS Mincho" w:eastAsia="MS Mincho" w:hAnsi="MS Mincho" w:cs="MS Mincho"/>
                <w:sz w:val="20"/>
              </w:rPr>
              <w:t>✔</w:t>
            </w:r>
          </w:p>
        </w:tc>
        <w:tc>
          <w:tcPr>
            <w:tcW w:w="2388" w:type="dxa"/>
            <w:gridSpan w:val="7"/>
            <w:vMerge w:val="restart"/>
            <w:shd w:val="clear" w:color="auto" w:fill="FBD4B4" w:themeFill="accent6" w:themeFillTint="66"/>
            <w:vAlign w:val="center"/>
          </w:tcPr>
          <w:p w:rsidR="00617B1F" w:rsidRDefault="00617B1F"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vAlign w:val="center"/>
          </w:tcPr>
          <w:p w:rsidR="00617B1F" w:rsidRPr="004B1C12" w:rsidRDefault="00617B1F" w:rsidP="00505B0A">
            <w:pPr>
              <w:pStyle w:val="Rowcolumntitles"/>
              <w:jc w:val="center"/>
            </w:pPr>
          </w:p>
        </w:tc>
        <w:tc>
          <w:tcPr>
            <w:tcW w:w="372" w:type="dxa"/>
            <w:vMerge w:val="restart"/>
            <w:shd w:val="clear" w:color="auto" w:fill="CCC0D9" w:themeFill="accent4" w:themeFillTint="66"/>
            <w:vAlign w:val="center"/>
          </w:tcPr>
          <w:p w:rsidR="00617B1F" w:rsidRPr="004B1C12" w:rsidRDefault="00617B1F" w:rsidP="00505B0A">
            <w:pPr>
              <w:pStyle w:val="Rowcolumntitles"/>
              <w:jc w:val="center"/>
              <w:rPr>
                <w:rFonts w:eastAsia="Times New Roman"/>
              </w:rPr>
            </w:pPr>
          </w:p>
        </w:tc>
        <w:tc>
          <w:tcPr>
            <w:tcW w:w="372" w:type="dxa"/>
            <w:vMerge w:val="restart"/>
            <w:shd w:val="clear" w:color="auto" w:fill="CCC0D9" w:themeFill="accent4" w:themeFillTint="66"/>
            <w:vAlign w:val="center"/>
          </w:tcPr>
          <w:p w:rsidR="00617B1F" w:rsidRPr="006E7C15" w:rsidRDefault="00617B1F" w:rsidP="00505B0A">
            <w:pPr>
              <w:pStyle w:val="Rowcolumntitles"/>
              <w:jc w:val="center"/>
              <w:rPr>
                <w:rFonts w:ascii="MS Mincho" w:eastAsia="MS Mincho" w:hAnsi="MS Mincho" w:cs="MS Mincho"/>
                <w:sz w:val="20"/>
              </w:rPr>
            </w:pPr>
            <w:r w:rsidRPr="006E7C15">
              <w:rPr>
                <w:rFonts w:ascii="MS Mincho" w:eastAsia="MS Mincho" w:hAnsi="MS Mincho" w:cs="MS Mincho"/>
                <w:sz w:val="20"/>
              </w:rPr>
              <w:t>✔</w:t>
            </w:r>
          </w:p>
        </w:tc>
        <w:tc>
          <w:tcPr>
            <w:tcW w:w="373" w:type="dxa"/>
            <w:vMerge w:val="restart"/>
            <w:shd w:val="clear" w:color="auto" w:fill="CCC0D9" w:themeFill="accent4" w:themeFillTint="66"/>
            <w:vAlign w:val="center"/>
          </w:tcPr>
          <w:p w:rsidR="00617B1F" w:rsidRPr="004B1C12" w:rsidRDefault="00617B1F" w:rsidP="00505B0A">
            <w:pPr>
              <w:pStyle w:val="Rowcolumntitles"/>
              <w:jc w:val="center"/>
              <w:rPr>
                <w:rFonts w:eastAsia="Times New Roman"/>
              </w:rPr>
            </w:pPr>
          </w:p>
        </w:tc>
        <w:tc>
          <w:tcPr>
            <w:tcW w:w="573" w:type="dxa"/>
            <w:vMerge w:val="restart"/>
            <w:shd w:val="clear" w:color="auto" w:fill="B8CCE4" w:themeFill="accent1" w:themeFillTint="66"/>
            <w:vAlign w:val="center"/>
          </w:tcPr>
          <w:p w:rsidR="00617B1F" w:rsidRPr="004B1C12" w:rsidRDefault="00617B1F" w:rsidP="00505B0A">
            <w:pPr>
              <w:pStyle w:val="Rowcolumntitles"/>
              <w:jc w:val="center"/>
            </w:pPr>
          </w:p>
        </w:tc>
        <w:tc>
          <w:tcPr>
            <w:tcW w:w="630" w:type="dxa"/>
            <w:vMerge w:val="restart"/>
            <w:shd w:val="clear" w:color="auto" w:fill="B8CCE4" w:themeFill="accent1" w:themeFillTint="66"/>
            <w:vAlign w:val="center"/>
          </w:tcPr>
          <w:p w:rsidR="00617B1F" w:rsidRPr="0010229D" w:rsidRDefault="00617B1F"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rsidR="00617B1F" w:rsidRPr="004B1C12" w:rsidRDefault="00617B1F" w:rsidP="00505B0A">
            <w:pPr>
              <w:pStyle w:val="Rowcolumntitles"/>
              <w:jc w:val="center"/>
              <w:rPr>
                <w:rFonts w:eastAsia="Times New Roman"/>
              </w:rPr>
            </w:pPr>
          </w:p>
        </w:tc>
        <w:tc>
          <w:tcPr>
            <w:tcW w:w="593" w:type="dxa"/>
            <w:shd w:val="clear" w:color="auto" w:fill="B8CCE4" w:themeFill="accent1" w:themeFillTint="66"/>
            <w:vAlign w:val="center"/>
          </w:tcPr>
          <w:p w:rsidR="00617B1F" w:rsidRPr="006E7C15" w:rsidRDefault="00617B1F" w:rsidP="00505B0A">
            <w:pPr>
              <w:pStyle w:val="Rowcolumntitles"/>
              <w:jc w:val="center"/>
              <w:rPr>
                <w:rFonts w:ascii="MS Mincho" w:eastAsia="MS Mincho" w:hAnsi="MS Mincho" w:cs="MS Mincho"/>
                <w:sz w:val="20"/>
              </w:rPr>
            </w:pPr>
            <w:r w:rsidRPr="006E7C15">
              <w:rPr>
                <w:rFonts w:ascii="MS Mincho" w:eastAsia="MS Mincho" w:hAnsi="MS Mincho" w:cs="MS Mincho"/>
                <w:sz w:val="20"/>
              </w:rPr>
              <w:t>✔</w:t>
            </w:r>
          </w:p>
        </w:tc>
        <w:tc>
          <w:tcPr>
            <w:tcW w:w="406" w:type="dxa"/>
            <w:vMerge w:val="restart"/>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B1F" w:rsidRPr="006E7C15" w:rsidRDefault="00617B1F" w:rsidP="00505B0A">
            <w:pPr>
              <w:pStyle w:val="Rowcolumntitles"/>
              <w:jc w:val="center"/>
              <w:rPr>
                <w:rFonts w:ascii="MS Mincho" w:eastAsia="MS Mincho" w:hAnsi="MS Mincho" w:cs="MS Mincho"/>
                <w:sz w:val="20"/>
              </w:rPr>
            </w:pPr>
            <w:r w:rsidRPr="006E7C15">
              <w:rPr>
                <w:rFonts w:ascii="MS Mincho" w:eastAsia="MS Mincho" w:hAnsi="MS Mincho" w:cs="MS Mincho"/>
                <w:sz w:val="20"/>
              </w:rPr>
              <w:t>✔</w:t>
            </w:r>
          </w:p>
        </w:tc>
        <w:tc>
          <w:tcPr>
            <w:tcW w:w="343" w:type="dxa"/>
            <w:vMerge w:val="restart"/>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343" w:type="dxa"/>
            <w:vMerge w:val="restart"/>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435" w:type="dxa"/>
            <w:vMerge w:val="restart"/>
            <w:shd w:val="clear" w:color="auto" w:fill="D99594" w:themeFill="accent2" w:themeFillTint="99"/>
            <w:vAlign w:val="center"/>
          </w:tcPr>
          <w:p w:rsidR="00617B1F" w:rsidRPr="004B1C12" w:rsidRDefault="00617B1F" w:rsidP="00505B0A">
            <w:pPr>
              <w:pStyle w:val="Rowcolumntitles"/>
              <w:jc w:val="center"/>
              <w:rPr>
                <w:rFonts w:eastAsia="Times New Roman"/>
              </w:rPr>
            </w:pPr>
          </w:p>
        </w:tc>
      </w:tr>
      <w:tr w:rsidR="00617B1F" w:rsidRPr="004B1C12" w:rsidTr="00505B0A">
        <w:trPr>
          <w:trHeight w:val="1140"/>
        </w:trPr>
        <w:tc>
          <w:tcPr>
            <w:tcW w:w="1628" w:type="dxa"/>
            <w:vMerge/>
            <w:shd w:val="clear" w:color="auto" w:fill="000000" w:themeFill="text1"/>
          </w:tcPr>
          <w:p w:rsidR="00617B1F" w:rsidRPr="001821B2" w:rsidRDefault="00617B1F" w:rsidP="00C439CF">
            <w:pPr>
              <w:rPr>
                <w:color w:val="FFFFFF" w:themeColor="background1"/>
              </w:rPr>
            </w:pPr>
          </w:p>
        </w:tc>
        <w:tc>
          <w:tcPr>
            <w:tcW w:w="453" w:type="dxa"/>
            <w:vMerge/>
            <w:shd w:val="clear" w:color="auto" w:fill="D6E3BC" w:themeFill="accent3" w:themeFillTint="66"/>
            <w:vAlign w:val="center"/>
          </w:tcPr>
          <w:p w:rsidR="00617B1F" w:rsidRPr="004B1C12" w:rsidRDefault="00617B1F" w:rsidP="00505B0A">
            <w:pPr>
              <w:pStyle w:val="Rowcolumntitles"/>
              <w:jc w:val="center"/>
            </w:pPr>
          </w:p>
        </w:tc>
        <w:tc>
          <w:tcPr>
            <w:tcW w:w="456" w:type="dxa"/>
            <w:vMerge/>
            <w:shd w:val="clear" w:color="auto" w:fill="D6E3BC" w:themeFill="accent3" w:themeFillTint="66"/>
            <w:vAlign w:val="center"/>
          </w:tcPr>
          <w:p w:rsidR="00617B1F" w:rsidRPr="004B1C12" w:rsidRDefault="00617B1F" w:rsidP="00505B0A">
            <w:pPr>
              <w:pStyle w:val="Rowcolumntitles"/>
              <w:jc w:val="center"/>
              <w:rPr>
                <w:rFonts w:eastAsia="Times New Roman"/>
              </w:rPr>
            </w:pPr>
          </w:p>
        </w:tc>
        <w:tc>
          <w:tcPr>
            <w:tcW w:w="360" w:type="dxa"/>
            <w:vMerge/>
            <w:shd w:val="clear" w:color="auto" w:fill="D6E3BC" w:themeFill="accent3" w:themeFillTint="66"/>
            <w:vAlign w:val="center"/>
          </w:tcPr>
          <w:p w:rsidR="00617B1F" w:rsidRPr="004B1C12" w:rsidRDefault="00617B1F" w:rsidP="00505B0A">
            <w:pPr>
              <w:pStyle w:val="Rowcolumntitles"/>
              <w:jc w:val="center"/>
            </w:pPr>
          </w:p>
        </w:tc>
        <w:tc>
          <w:tcPr>
            <w:tcW w:w="361" w:type="dxa"/>
            <w:vMerge/>
            <w:shd w:val="clear" w:color="auto" w:fill="D6E3BC" w:themeFill="accent3" w:themeFillTint="66"/>
            <w:vAlign w:val="center"/>
          </w:tcPr>
          <w:p w:rsidR="00617B1F" w:rsidRPr="006E7C15" w:rsidRDefault="00617B1F" w:rsidP="00505B0A">
            <w:pPr>
              <w:pStyle w:val="Rowcolumntitles"/>
              <w:jc w:val="center"/>
              <w:rPr>
                <w:rFonts w:ascii="MS Mincho" w:eastAsia="MS Mincho" w:hAnsi="MS Mincho" w:cs="MS Mincho"/>
                <w:sz w:val="20"/>
              </w:rPr>
            </w:pPr>
          </w:p>
        </w:tc>
        <w:tc>
          <w:tcPr>
            <w:tcW w:w="2388" w:type="dxa"/>
            <w:gridSpan w:val="7"/>
            <w:vMerge/>
            <w:shd w:val="clear" w:color="auto" w:fill="FBD4B4" w:themeFill="accent6" w:themeFillTint="66"/>
            <w:vAlign w:val="center"/>
          </w:tcPr>
          <w:p w:rsidR="00617B1F" w:rsidRDefault="00617B1F" w:rsidP="00505B0A">
            <w:pPr>
              <w:pStyle w:val="Rowcolumntitles"/>
              <w:jc w:val="center"/>
              <w:rPr>
                <w:rFonts w:eastAsia="Times New Roman"/>
              </w:rPr>
            </w:pPr>
          </w:p>
        </w:tc>
        <w:tc>
          <w:tcPr>
            <w:tcW w:w="372" w:type="dxa"/>
            <w:vMerge/>
            <w:shd w:val="clear" w:color="auto" w:fill="CCC0D9" w:themeFill="accent4" w:themeFillTint="66"/>
            <w:vAlign w:val="center"/>
          </w:tcPr>
          <w:p w:rsidR="00617B1F" w:rsidRPr="004B1C12" w:rsidRDefault="00617B1F" w:rsidP="00505B0A">
            <w:pPr>
              <w:pStyle w:val="Rowcolumntitles"/>
              <w:jc w:val="center"/>
            </w:pPr>
          </w:p>
        </w:tc>
        <w:tc>
          <w:tcPr>
            <w:tcW w:w="372" w:type="dxa"/>
            <w:vMerge/>
            <w:shd w:val="clear" w:color="auto" w:fill="CCC0D9" w:themeFill="accent4" w:themeFillTint="66"/>
            <w:vAlign w:val="center"/>
          </w:tcPr>
          <w:p w:rsidR="00617B1F" w:rsidRPr="004B1C12" w:rsidRDefault="00617B1F" w:rsidP="00505B0A">
            <w:pPr>
              <w:pStyle w:val="Rowcolumntitles"/>
              <w:jc w:val="center"/>
              <w:rPr>
                <w:rFonts w:eastAsia="Times New Roman"/>
              </w:rPr>
            </w:pPr>
          </w:p>
        </w:tc>
        <w:tc>
          <w:tcPr>
            <w:tcW w:w="372" w:type="dxa"/>
            <w:vMerge/>
            <w:shd w:val="clear" w:color="auto" w:fill="CCC0D9" w:themeFill="accent4" w:themeFillTint="66"/>
            <w:vAlign w:val="center"/>
          </w:tcPr>
          <w:p w:rsidR="00617B1F" w:rsidRPr="006E7C15" w:rsidRDefault="00617B1F"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rsidR="00617B1F" w:rsidRPr="004B1C12" w:rsidRDefault="00617B1F" w:rsidP="00505B0A">
            <w:pPr>
              <w:pStyle w:val="Rowcolumntitles"/>
              <w:jc w:val="center"/>
              <w:rPr>
                <w:rFonts w:eastAsia="Times New Roman"/>
              </w:rPr>
            </w:pPr>
          </w:p>
        </w:tc>
        <w:tc>
          <w:tcPr>
            <w:tcW w:w="573" w:type="dxa"/>
            <w:vMerge/>
            <w:shd w:val="clear" w:color="auto" w:fill="B8CCE4" w:themeFill="accent1" w:themeFillTint="66"/>
            <w:vAlign w:val="center"/>
          </w:tcPr>
          <w:p w:rsidR="00617B1F" w:rsidRPr="004B1C12" w:rsidRDefault="00617B1F" w:rsidP="00505B0A">
            <w:pPr>
              <w:pStyle w:val="Rowcolumntitles"/>
              <w:jc w:val="center"/>
            </w:pPr>
          </w:p>
        </w:tc>
        <w:tc>
          <w:tcPr>
            <w:tcW w:w="630" w:type="dxa"/>
            <w:vMerge/>
            <w:shd w:val="clear" w:color="auto" w:fill="B8CCE4" w:themeFill="accent1" w:themeFillTint="66"/>
            <w:vAlign w:val="center"/>
          </w:tcPr>
          <w:p w:rsidR="00617B1F" w:rsidRPr="0010229D" w:rsidRDefault="00617B1F"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rsidR="00617B1F" w:rsidRPr="004B1C12" w:rsidRDefault="00617B1F" w:rsidP="00505B0A">
            <w:pPr>
              <w:pStyle w:val="Rowcolumntitles"/>
              <w:jc w:val="center"/>
              <w:rPr>
                <w:rFonts w:eastAsia="Times New Roman"/>
              </w:rPr>
            </w:pPr>
          </w:p>
        </w:tc>
        <w:tc>
          <w:tcPr>
            <w:tcW w:w="593" w:type="dxa"/>
            <w:shd w:val="clear" w:color="auto" w:fill="B8CCE4" w:themeFill="accent1" w:themeFillTint="66"/>
            <w:vAlign w:val="center"/>
          </w:tcPr>
          <w:p w:rsidR="00617B1F" w:rsidRPr="006E7C15" w:rsidRDefault="00617B1F" w:rsidP="00505B0A">
            <w:pPr>
              <w:pStyle w:val="Rowcolumntitles"/>
              <w:jc w:val="center"/>
              <w:rPr>
                <w:rFonts w:ascii="MS Mincho" w:eastAsia="MS Mincho" w:hAnsi="MS Mincho" w:cs="MS Mincho"/>
                <w:sz w:val="20"/>
              </w:rPr>
            </w:pPr>
            <w:r w:rsidRPr="006E7C15">
              <w:rPr>
                <w:rFonts w:ascii="Menlo Bold" w:eastAsia="MS Mincho" w:hAnsi="Menlo Bold" w:cs="Menlo Bold"/>
                <w:sz w:val="20"/>
              </w:rPr>
              <w:t>✔</w:t>
            </w:r>
          </w:p>
        </w:tc>
        <w:tc>
          <w:tcPr>
            <w:tcW w:w="406" w:type="dxa"/>
            <w:vMerge/>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343" w:type="dxa"/>
            <w:vMerge/>
            <w:shd w:val="clear" w:color="auto" w:fill="D99594" w:themeFill="accent2" w:themeFillTint="99"/>
            <w:vAlign w:val="center"/>
          </w:tcPr>
          <w:p w:rsidR="00617B1F" w:rsidRPr="006E7C15" w:rsidRDefault="00617B1F" w:rsidP="00505B0A">
            <w:pPr>
              <w:pStyle w:val="Rowcolumntitles"/>
              <w:jc w:val="center"/>
              <w:rPr>
                <w:rFonts w:ascii="MS Mincho" w:eastAsia="MS Mincho" w:hAnsi="MS Mincho" w:cs="MS Mincho"/>
                <w:sz w:val="20"/>
              </w:rPr>
            </w:pPr>
          </w:p>
        </w:tc>
        <w:tc>
          <w:tcPr>
            <w:tcW w:w="343" w:type="dxa"/>
            <w:vMerge/>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343" w:type="dxa"/>
            <w:vMerge/>
            <w:shd w:val="clear" w:color="auto" w:fill="D99594" w:themeFill="accent2" w:themeFillTint="99"/>
            <w:vAlign w:val="center"/>
          </w:tcPr>
          <w:p w:rsidR="00617B1F" w:rsidRPr="004B1C12" w:rsidRDefault="00617B1F" w:rsidP="00505B0A">
            <w:pPr>
              <w:pStyle w:val="Rowcolumntitles"/>
              <w:jc w:val="center"/>
              <w:rPr>
                <w:rFonts w:eastAsia="Times New Roman"/>
              </w:rPr>
            </w:pPr>
          </w:p>
        </w:tc>
        <w:tc>
          <w:tcPr>
            <w:tcW w:w="435" w:type="dxa"/>
            <w:vMerge/>
            <w:shd w:val="clear" w:color="auto" w:fill="D99594" w:themeFill="accent2" w:themeFillTint="99"/>
            <w:vAlign w:val="center"/>
          </w:tcPr>
          <w:p w:rsidR="00617B1F" w:rsidRPr="004B1C12" w:rsidRDefault="00617B1F" w:rsidP="00505B0A">
            <w:pPr>
              <w:pStyle w:val="Rowcolumntitles"/>
              <w:jc w:val="center"/>
              <w:rPr>
                <w:rFonts w:eastAsia="Times New Roman"/>
              </w:rPr>
            </w:pPr>
          </w:p>
        </w:tc>
      </w:tr>
      <w:tr w:rsidR="005B36C6" w:rsidRPr="004B1C12" w:rsidTr="005B36C6">
        <w:trPr>
          <w:trHeight w:val="1340"/>
        </w:trPr>
        <w:tc>
          <w:tcPr>
            <w:tcW w:w="1628" w:type="dxa"/>
            <w:vMerge w:val="restart"/>
            <w:shd w:val="clear" w:color="auto" w:fill="000000" w:themeFill="text1"/>
            <w:vAlign w:val="center"/>
          </w:tcPr>
          <w:p w:rsidR="005B36C6" w:rsidRPr="00B91E54" w:rsidRDefault="005B36C6" w:rsidP="00C439CF">
            <w:pPr>
              <w:rPr>
                <w:color w:val="FFFFFF" w:themeColor="background1"/>
              </w:rPr>
            </w:pPr>
            <w:r w:rsidRPr="00B91E54">
              <w:rPr>
                <w:rFonts w:hint="cs"/>
                <w:color w:val="FFFFFF" w:themeColor="background1"/>
              </w:rPr>
              <w:lastRenderedPageBreak/>
              <w:t>22. Introduction of an electronic petition portal and “Zugdidi- INFO” on the webpage of Zugdidi Municipality Assembly</w:t>
            </w:r>
          </w:p>
        </w:tc>
        <w:tc>
          <w:tcPr>
            <w:tcW w:w="453" w:type="dxa"/>
            <w:vMerge w:val="restart"/>
            <w:shd w:val="clear" w:color="auto" w:fill="D6E3BC" w:themeFill="accent3" w:themeFillTint="66"/>
            <w:vAlign w:val="center"/>
          </w:tcPr>
          <w:p w:rsidR="005B36C6" w:rsidRPr="004B1C12" w:rsidRDefault="005B36C6" w:rsidP="00505B0A">
            <w:pPr>
              <w:pStyle w:val="Rowcolumntitles"/>
              <w:jc w:val="center"/>
            </w:pPr>
          </w:p>
        </w:tc>
        <w:tc>
          <w:tcPr>
            <w:tcW w:w="456" w:type="dxa"/>
            <w:vMerge w:val="restart"/>
            <w:shd w:val="clear" w:color="auto" w:fill="D6E3BC" w:themeFill="accent3" w:themeFillTint="66"/>
            <w:vAlign w:val="center"/>
          </w:tcPr>
          <w:p w:rsidR="005B36C6" w:rsidRPr="004B1C12" w:rsidRDefault="005B36C6" w:rsidP="00505B0A">
            <w:pPr>
              <w:pStyle w:val="Rowcolumntitles"/>
              <w:jc w:val="center"/>
              <w:rPr>
                <w:rFonts w:eastAsia="Times New Roman"/>
              </w:rPr>
            </w:pPr>
          </w:p>
        </w:tc>
        <w:tc>
          <w:tcPr>
            <w:tcW w:w="360" w:type="dxa"/>
            <w:vMerge w:val="restart"/>
            <w:shd w:val="clear" w:color="auto" w:fill="D6E3BC" w:themeFill="accent3" w:themeFillTint="66"/>
            <w:vAlign w:val="center"/>
          </w:tcPr>
          <w:p w:rsidR="005B36C6" w:rsidRPr="004B1C12" w:rsidRDefault="005B36C6"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rsidR="005B36C6" w:rsidRPr="006E7C15" w:rsidDel="00617B1F" w:rsidRDefault="005B36C6" w:rsidP="00505B0A">
            <w:pPr>
              <w:pStyle w:val="Rowcolumntitles"/>
              <w:jc w:val="center"/>
              <w:rPr>
                <w:rFonts w:ascii="MS Mincho" w:eastAsia="MS Mincho" w:hAnsi="MS Mincho" w:cs="MS Mincho"/>
                <w:sz w:val="20"/>
              </w:rPr>
            </w:pPr>
          </w:p>
        </w:tc>
        <w:tc>
          <w:tcPr>
            <w:tcW w:w="597" w:type="dxa"/>
            <w:gridSpan w:val="2"/>
            <w:vMerge w:val="restart"/>
            <w:shd w:val="clear" w:color="auto" w:fill="FBD4B4" w:themeFill="accent6" w:themeFillTint="66"/>
            <w:vAlign w:val="center"/>
          </w:tcPr>
          <w:p w:rsidR="005B36C6" w:rsidDel="00617B1F" w:rsidRDefault="005B36C6" w:rsidP="00505B0A">
            <w:pPr>
              <w:pStyle w:val="Rowcolumntitles"/>
              <w:jc w:val="center"/>
              <w:rPr>
                <w:rFonts w:eastAsia="Times New Roman"/>
              </w:rPr>
            </w:pPr>
            <w:r w:rsidRPr="0010229D">
              <w:rPr>
                <w:rFonts w:ascii="MS Mincho" w:eastAsia="MS Mincho" w:hAnsi="MS Mincho" w:cs="MS Mincho"/>
                <w:sz w:val="20"/>
              </w:rPr>
              <w:t>✔</w:t>
            </w:r>
          </w:p>
        </w:tc>
        <w:tc>
          <w:tcPr>
            <w:tcW w:w="597" w:type="dxa"/>
            <w:gridSpan w:val="2"/>
            <w:vMerge w:val="restart"/>
            <w:shd w:val="clear" w:color="auto" w:fill="FBD4B4" w:themeFill="accent6" w:themeFillTint="66"/>
            <w:vAlign w:val="center"/>
          </w:tcPr>
          <w:p w:rsidR="005B36C6" w:rsidDel="00617B1F"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7" w:type="dxa"/>
            <w:gridSpan w:val="2"/>
            <w:vMerge w:val="restart"/>
            <w:shd w:val="clear" w:color="auto" w:fill="FBD4B4" w:themeFill="accent6" w:themeFillTint="66"/>
            <w:vAlign w:val="center"/>
          </w:tcPr>
          <w:p w:rsidR="005B36C6" w:rsidDel="00617B1F" w:rsidRDefault="005B36C6" w:rsidP="00505B0A">
            <w:pPr>
              <w:pStyle w:val="Rowcolumntitles"/>
              <w:jc w:val="center"/>
              <w:rPr>
                <w:rFonts w:eastAsia="Times New Roman"/>
              </w:rPr>
            </w:pPr>
          </w:p>
        </w:tc>
        <w:tc>
          <w:tcPr>
            <w:tcW w:w="597" w:type="dxa"/>
            <w:vMerge w:val="restart"/>
            <w:shd w:val="clear" w:color="auto" w:fill="FBD4B4" w:themeFill="accent6" w:themeFillTint="66"/>
            <w:vAlign w:val="center"/>
          </w:tcPr>
          <w:p w:rsidR="005B36C6" w:rsidDel="00617B1F"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372" w:type="dxa"/>
            <w:vMerge w:val="restart"/>
            <w:shd w:val="clear" w:color="auto" w:fill="CCC0D9" w:themeFill="accent4" w:themeFillTint="66"/>
            <w:vAlign w:val="center"/>
          </w:tcPr>
          <w:p w:rsidR="005B36C6" w:rsidRPr="004B1C12" w:rsidRDefault="005B36C6" w:rsidP="00505B0A">
            <w:pPr>
              <w:pStyle w:val="Rowcolumntitles"/>
              <w:jc w:val="center"/>
            </w:pPr>
          </w:p>
        </w:tc>
        <w:tc>
          <w:tcPr>
            <w:tcW w:w="372" w:type="dxa"/>
            <w:vMerge w:val="restart"/>
            <w:shd w:val="clear" w:color="auto" w:fill="CCC0D9" w:themeFill="accent4" w:themeFillTint="66"/>
            <w:vAlign w:val="center"/>
          </w:tcPr>
          <w:p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372" w:type="dxa"/>
            <w:vMerge w:val="restart"/>
            <w:shd w:val="clear" w:color="auto" w:fill="CCC0D9" w:themeFill="accent4" w:themeFillTint="66"/>
            <w:vAlign w:val="center"/>
          </w:tcPr>
          <w:p w:rsidR="005B36C6" w:rsidRPr="006E7C15" w:rsidDel="00617B1F" w:rsidRDefault="005B36C6" w:rsidP="00505B0A">
            <w:pPr>
              <w:pStyle w:val="Rowcolumntitles"/>
              <w:jc w:val="center"/>
              <w:rPr>
                <w:rFonts w:ascii="MS Mincho" w:eastAsia="MS Mincho" w:hAnsi="MS Mincho" w:cs="MS Mincho"/>
                <w:sz w:val="20"/>
              </w:rPr>
            </w:pPr>
          </w:p>
        </w:tc>
        <w:tc>
          <w:tcPr>
            <w:tcW w:w="373" w:type="dxa"/>
            <w:vMerge w:val="restart"/>
            <w:shd w:val="clear" w:color="auto" w:fill="CCC0D9" w:themeFill="accent4" w:themeFillTint="66"/>
            <w:vAlign w:val="center"/>
          </w:tcPr>
          <w:p w:rsidR="005B36C6" w:rsidRPr="004B1C12" w:rsidRDefault="005B36C6" w:rsidP="00505B0A">
            <w:pPr>
              <w:pStyle w:val="Rowcolumntitles"/>
              <w:jc w:val="center"/>
              <w:rPr>
                <w:rFonts w:eastAsia="Times New Roman"/>
              </w:rPr>
            </w:pPr>
          </w:p>
        </w:tc>
        <w:tc>
          <w:tcPr>
            <w:tcW w:w="573" w:type="dxa"/>
            <w:vMerge w:val="restart"/>
            <w:shd w:val="clear" w:color="auto" w:fill="B8CCE4" w:themeFill="accent1" w:themeFillTint="66"/>
            <w:vAlign w:val="center"/>
          </w:tcPr>
          <w:p w:rsidR="005B36C6" w:rsidRPr="004B1C12" w:rsidRDefault="005B36C6" w:rsidP="00505B0A">
            <w:pPr>
              <w:pStyle w:val="Rowcolumntitles"/>
              <w:jc w:val="center"/>
            </w:pPr>
          </w:p>
        </w:tc>
        <w:tc>
          <w:tcPr>
            <w:tcW w:w="630" w:type="dxa"/>
            <w:vMerge w:val="restart"/>
            <w:shd w:val="clear" w:color="auto" w:fill="B8CCE4" w:themeFill="accent1"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3" w:type="dxa"/>
            <w:vMerge w:val="restart"/>
            <w:shd w:val="clear" w:color="auto" w:fill="B8CCE4" w:themeFill="accent1" w:themeFillTint="66"/>
            <w:vAlign w:val="center"/>
          </w:tcPr>
          <w:p w:rsidR="005B36C6" w:rsidRPr="006E7C15" w:rsidDel="00617B1F" w:rsidRDefault="005B36C6" w:rsidP="00505B0A">
            <w:pPr>
              <w:pStyle w:val="Rowcolumntitles"/>
              <w:jc w:val="center"/>
              <w:rPr>
                <w:rFonts w:ascii="MS Mincho" w:eastAsia="MS Mincho" w:hAnsi="MS Mincho" w:cs="MS Mincho"/>
                <w:sz w:val="20"/>
              </w:rPr>
            </w:pPr>
          </w:p>
        </w:tc>
        <w:tc>
          <w:tcPr>
            <w:tcW w:w="406" w:type="dxa"/>
            <w:vMerge w:val="restart"/>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343" w:type="dxa"/>
            <w:vMerge w:val="restart"/>
            <w:shd w:val="clear" w:color="auto" w:fill="D99594" w:themeFill="accent2" w:themeFillTint="99"/>
            <w:vAlign w:val="center"/>
          </w:tcPr>
          <w:p w:rsidR="005B36C6" w:rsidRPr="006E7C15" w:rsidDel="00617B1F" w:rsidRDefault="005B36C6" w:rsidP="00505B0A">
            <w:pPr>
              <w:pStyle w:val="Rowcolumntitles"/>
              <w:jc w:val="center"/>
              <w:rPr>
                <w:rFonts w:ascii="MS Mincho" w:eastAsia="MS Mincho" w:hAnsi="MS Mincho" w:cs="MS Mincho"/>
                <w:sz w:val="20"/>
              </w:rPr>
            </w:pPr>
          </w:p>
        </w:tc>
        <w:tc>
          <w:tcPr>
            <w:tcW w:w="343" w:type="dxa"/>
            <w:vMerge w:val="restart"/>
            <w:shd w:val="clear" w:color="auto" w:fill="D99594" w:themeFill="accent2" w:themeFillTint="99"/>
            <w:vAlign w:val="center"/>
          </w:tcPr>
          <w:p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343" w:type="dxa"/>
            <w:vMerge w:val="restart"/>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435" w:type="dxa"/>
            <w:vMerge w:val="restart"/>
            <w:shd w:val="clear" w:color="auto" w:fill="D99594" w:themeFill="accent2" w:themeFillTint="99"/>
            <w:vAlign w:val="center"/>
          </w:tcPr>
          <w:p w:rsidR="005B36C6" w:rsidRPr="004B1C12" w:rsidRDefault="005B36C6" w:rsidP="00505B0A">
            <w:pPr>
              <w:pStyle w:val="Rowcolumntitles"/>
              <w:jc w:val="center"/>
              <w:rPr>
                <w:rFonts w:eastAsia="Times New Roman"/>
              </w:rPr>
            </w:pPr>
          </w:p>
        </w:tc>
      </w:tr>
      <w:tr w:rsidR="005B36C6" w:rsidRPr="004B1C12" w:rsidTr="004E0775">
        <w:trPr>
          <w:trHeight w:val="1340"/>
        </w:trPr>
        <w:tc>
          <w:tcPr>
            <w:tcW w:w="1628" w:type="dxa"/>
            <w:vMerge/>
            <w:shd w:val="clear" w:color="auto" w:fill="000000" w:themeFill="text1"/>
            <w:vAlign w:val="center"/>
          </w:tcPr>
          <w:p w:rsidR="005B36C6" w:rsidRDefault="005B36C6" w:rsidP="00C439CF">
            <w:pPr>
              <w:rPr>
                <w:rFonts w:ascii="Segoe UI Symbol" w:hAnsi="Segoe UI Symbol" w:cs="Segoe UI Symbol"/>
                <w:color w:val="FFFFFF" w:themeColor="background1"/>
              </w:rPr>
            </w:pPr>
          </w:p>
        </w:tc>
        <w:tc>
          <w:tcPr>
            <w:tcW w:w="453" w:type="dxa"/>
            <w:vMerge/>
            <w:shd w:val="clear" w:color="auto" w:fill="D6E3BC" w:themeFill="accent3" w:themeFillTint="66"/>
            <w:vAlign w:val="center"/>
          </w:tcPr>
          <w:p w:rsidR="005B36C6" w:rsidRPr="004B1C12" w:rsidRDefault="005B36C6" w:rsidP="00505B0A">
            <w:pPr>
              <w:pStyle w:val="Rowcolumntitles"/>
              <w:jc w:val="center"/>
            </w:pPr>
          </w:p>
        </w:tc>
        <w:tc>
          <w:tcPr>
            <w:tcW w:w="456" w:type="dxa"/>
            <w:vMerge/>
            <w:shd w:val="clear" w:color="auto" w:fill="D6E3BC" w:themeFill="accent3" w:themeFillTint="66"/>
            <w:vAlign w:val="center"/>
          </w:tcPr>
          <w:p w:rsidR="005B36C6" w:rsidRPr="004B1C12" w:rsidRDefault="005B36C6" w:rsidP="00505B0A">
            <w:pPr>
              <w:pStyle w:val="Rowcolumntitles"/>
              <w:jc w:val="center"/>
              <w:rPr>
                <w:rFonts w:eastAsia="Times New Roman"/>
              </w:rPr>
            </w:pPr>
          </w:p>
        </w:tc>
        <w:tc>
          <w:tcPr>
            <w:tcW w:w="360" w:type="dxa"/>
            <w:vMerge/>
            <w:shd w:val="clear" w:color="auto" w:fill="D6E3BC" w:themeFill="accent3"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rsidR="005B36C6" w:rsidRPr="006E7C15" w:rsidDel="00617B1F"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rsidR="005B36C6" w:rsidRPr="0010229D" w:rsidRDefault="005B36C6" w:rsidP="00505B0A">
            <w:pPr>
              <w:pStyle w:val="Rowcolumntitles"/>
              <w:jc w:val="center"/>
              <w:rPr>
                <w:rFonts w:ascii="Menlo Bold" w:eastAsia="MS Mincho" w:hAnsi="Menlo Bold" w:cs="Menlo Bold"/>
                <w:sz w:val="20"/>
              </w:rPr>
            </w:pPr>
          </w:p>
        </w:tc>
        <w:tc>
          <w:tcPr>
            <w:tcW w:w="597" w:type="dxa"/>
            <w:gridSpan w:val="2"/>
            <w:vMerge/>
            <w:shd w:val="clear" w:color="auto" w:fill="FBD4B4" w:themeFill="accent6" w:themeFillTint="66"/>
            <w:vAlign w:val="center"/>
          </w:tcPr>
          <w:p w:rsidR="005B36C6" w:rsidDel="00617B1F" w:rsidRDefault="005B36C6" w:rsidP="00505B0A">
            <w:pPr>
              <w:pStyle w:val="Rowcolumntitles"/>
              <w:jc w:val="center"/>
              <w:rPr>
                <w:rFonts w:eastAsia="Times New Roman"/>
              </w:rPr>
            </w:pPr>
          </w:p>
        </w:tc>
        <w:tc>
          <w:tcPr>
            <w:tcW w:w="597" w:type="dxa"/>
            <w:vMerge/>
            <w:shd w:val="clear" w:color="auto" w:fill="FBD4B4" w:themeFill="accent6" w:themeFillTint="66"/>
            <w:vAlign w:val="center"/>
          </w:tcPr>
          <w:p w:rsidR="005B36C6" w:rsidRPr="0010229D" w:rsidRDefault="005B36C6" w:rsidP="00505B0A">
            <w:pPr>
              <w:pStyle w:val="Rowcolumntitles"/>
              <w:jc w:val="center"/>
              <w:rPr>
                <w:rFonts w:ascii="Menlo Bold" w:eastAsia="MS Mincho" w:hAnsi="Menlo Bold" w:cs="Menlo Bold"/>
                <w:sz w:val="20"/>
              </w:rPr>
            </w:pPr>
          </w:p>
        </w:tc>
        <w:tc>
          <w:tcPr>
            <w:tcW w:w="372" w:type="dxa"/>
            <w:vMerge/>
            <w:shd w:val="clear" w:color="auto" w:fill="CCC0D9" w:themeFill="accent4" w:themeFillTint="66"/>
            <w:vAlign w:val="center"/>
          </w:tcPr>
          <w:p w:rsidR="005B36C6" w:rsidRPr="004B1C12" w:rsidRDefault="005B36C6" w:rsidP="00505B0A">
            <w:pPr>
              <w:pStyle w:val="Rowcolumntitles"/>
              <w:jc w:val="center"/>
            </w:pPr>
          </w:p>
        </w:tc>
        <w:tc>
          <w:tcPr>
            <w:tcW w:w="372" w:type="dxa"/>
            <w:vMerge/>
            <w:shd w:val="clear" w:color="auto" w:fill="CCC0D9" w:themeFill="accent4" w:themeFillTint="66"/>
            <w:vAlign w:val="center"/>
          </w:tcPr>
          <w:p w:rsidR="005B36C6" w:rsidRPr="0010229D" w:rsidRDefault="005B36C6" w:rsidP="00505B0A">
            <w:pPr>
              <w:pStyle w:val="Rowcolumntitles"/>
              <w:jc w:val="center"/>
              <w:rPr>
                <w:rFonts w:ascii="Menlo Bold" w:eastAsia="MS Mincho" w:hAnsi="Menlo Bold" w:cs="Menlo Bold"/>
                <w:sz w:val="20"/>
              </w:rPr>
            </w:pPr>
          </w:p>
        </w:tc>
        <w:tc>
          <w:tcPr>
            <w:tcW w:w="372" w:type="dxa"/>
            <w:vMerge/>
            <w:shd w:val="clear" w:color="auto" w:fill="CCC0D9" w:themeFill="accent4" w:themeFillTint="66"/>
            <w:vAlign w:val="center"/>
          </w:tcPr>
          <w:p w:rsidR="005B36C6" w:rsidRPr="006E7C15" w:rsidDel="00617B1F" w:rsidRDefault="005B36C6"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rsidR="005B36C6" w:rsidRPr="004B1C12" w:rsidRDefault="005B36C6" w:rsidP="00505B0A">
            <w:pPr>
              <w:pStyle w:val="Rowcolumntitles"/>
              <w:jc w:val="center"/>
              <w:rPr>
                <w:rFonts w:eastAsia="Times New Roman"/>
              </w:rPr>
            </w:pPr>
          </w:p>
        </w:tc>
        <w:tc>
          <w:tcPr>
            <w:tcW w:w="573" w:type="dxa"/>
            <w:vMerge/>
            <w:shd w:val="clear" w:color="auto" w:fill="B8CCE4" w:themeFill="accent1" w:themeFillTint="66"/>
            <w:vAlign w:val="center"/>
          </w:tcPr>
          <w:p w:rsidR="005B36C6" w:rsidRPr="0010229D" w:rsidDel="005B36C6" w:rsidRDefault="005B36C6" w:rsidP="00505B0A">
            <w:pPr>
              <w:pStyle w:val="Rowcolumntitles"/>
              <w:jc w:val="center"/>
              <w:rPr>
                <w:rFonts w:ascii="MS Mincho" w:eastAsia="MS Mincho" w:hAnsi="MS Mincho" w:cs="MS Mincho"/>
                <w:sz w:val="20"/>
              </w:rPr>
            </w:pPr>
          </w:p>
        </w:tc>
        <w:tc>
          <w:tcPr>
            <w:tcW w:w="630" w:type="dxa"/>
            <w:vMerge/>
            <w:shd w:val="clear" w:color="auto" w:fill="B8CCE4" w:themeFill="accent1"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3" w:type="dxa"/>
            <w:vMerge/>
            <w:shd w:val="clear" w:color="auto" w:fill="B8CCE4" w:themeFill="accent1" w:themeFillTint="66"/>
            <w:vAlign w:val="center"/>
          </w:tcPr>
          <w:p w:rsidR="005B36C6" w:rsidRPr="006E7C15" w:rsidDel="00617B1F" w:rsidRDefault="005B36C6" w:rsidP="00505B0A">
            <w:pPr>
              <w:pStyle w:val="Rowcolumntitles"/>
              <w:jc w:val="center"/>
              <w:rPr>
                <w:rFonts w:ascii="MS Mincho" w:eastAsia="MS Mincho" w:hAnsi="MS Mincho" w:cs="MS Mincho"/>
                <w:sz w:val="20"/>
              </w:rPr>
            </w:pPr>
          </w:p>
        </w:tc>
        <w:tc>
          <w:tcPr>
            <w:tcW w:w="406" w:type="dxa"/>
            <w:vMerge/>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rsidR="005B36C6" w:rsidRPr="0010229D" w:rsidRDefault="005B36C6" w:rsidP="00505B0A">
            <w:pPr>
              <w:pStyle w:val="Rowcolumntitles"/>
              <w:jc w:val="center"/>
              <w:rPr>
                <w:rFonts w:ascii="MS Mincho" w:eastAsia="MS Mincho" w:hAnsi="MS Mincho" w:cs="MS Mincho"/>
                <w:sz w:val="20"/>
              </w:rPr>
            </w:pPr>
          </w:p>
        </w:tc>
        <w:tc>
          <w:tcPr>
            <w:tcW w:w="343" w:type="dxa"/>
            <w:vMerge/>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435" w:type="dxa"/>
            <w:vMerge/>
            <w:shd w:val="clear" w:color="auto" w:fill="D99594" w:themeFill="accent2" w:themeFillTint="99"/>
            <w:vAlign w:val="center"/>
          </w:tcPr>
          <w:p w:rsidR="005B36C6" w:rsidRPr="004B1C12" w:rsidRDefault="005B36C6" w:rsidP="00505B0A">
            <w:pPr>
              <w:pStyle w:val="Rowcolumntitles"/>
              <w:jc w:val="center"/>
              <w:rPr>
                <w:rFonts w:eastAsia="Times New Roman"/>
              </w:rPr>
            </w:pPr>
          </w:p>
        </w:tc>
      </w:tr>
      <w:tr w:rsidR="005B36C6" w:rsidRPr="004B1C12" w:rsidTr="005B36C6">
        <w:trPr>
          <w:trHeight w:val="760"/>
        </w:trPr>
        <w:tc>
          <w:tcPr>
            <w:tcW w:w="1628" w:type="dxa"/>
            <w:vMerge w:val="restart"/>
            <w:shd w:val="clear" w:color="auto" w:fill="000000" w:themeFill="text1"/>
            <w:vAlign w:val="center"/>
          </w:tcPr>
          <w:p w:rsidR="005B36C6" w:rsidRPr="004B1C12" w:rsidRDefault="005B36C6" w:rsidP="00C439CF">
            <w:pPr>
              <w:rPr>
                <w:color w:val="FFFFFF" w:themeColor="background1"/>
              </w:rPr>
            </w:pPr>
            <w:r>
              <w:rPr>
                <w:color w:val="FFFFFF" w:themeColor="background1"/>
              </w:rPr>
              <w:t xml:space="preserve">23. </w:t>
            </w:r>
            <w:r w:rsidRPr="00C47F8E">
              <w:rPr>
                <w:color w:val="FFFFFF" w:themeColor="background1"/>
              </w:rPr>
              <w:t>Transparency of Ozurgeti Municipality Assembly meetings</w:t>
            </w:r>
          </w:p>
        </w:tc>
        <w:tc>
          <w:tcPr>
            <w:tcW w:w="453" w:type="dxa"/>
            <w:vMerge w:val="restart"/>
            <w:shd w:val="clear" w:color="auto" w:fill="D6E3BC" w:themeFill="accent3" w:themeFillTint="66"/>
            <w:vAlign w:val="center"/>
          </w:tcPr>
          <w:p w:rsidR="005B36C6" w:rsidRPr="004B1C12" w:rsidRDefault="005B36C6" w:rsidP="00505B0A">
            <w:pPr>
              <w:pStyle w:val="Rowcolumntitles"/>
              <w:jc w:val="center"/>
            </w:pPr>
          </w:p>
        </w:tc>
        <w:tc>
          <w:tcPr>
            <w:tcW w:w="456" w:type="dxa"/>
            <w:vMerge w:val="restart"/>
            <w:shd w:val="clear" w:color="auto" w:fill="D6E3BC" w:themeFill="accent3" w:themeFillTint="66"/>
            <w:vAlign w:val="center"/>
          </w:tcPr>
          <w:p w:rsidR="005B36C6" w:rsidRPr="004B1C12" w:rsidRDefault="005B36C6" w:rsidP="00505B0A">
            <w:pPr>
              <w:pStyle w:val="Rowcolumntitles"/>
              <w:jc w:val="center"/>
              <w:rPr>
                <w:rFonts w:eastAsia="Times New Roman"/>
              </w:rPr>
            </w:pPr>
          </w:p>
        </w:tc>
        <w:tc>
          <w:tcPr>
            <w:tcW w:w="360" w:type="dxa"/>
            <w:vMerge w:val="restart"/>
            <w:shd w:val="clear" w:color="auto" w:fill="D6E3BC" w:themeFill="accent3" w:themeFillTint="66"/>
            <w:vAlign w:val="center"/>
          </w:tcPr>
          <w:p w:rsidR="005B36C6" w:rsidRPr="004B1C12" w:rsidRDefault="005B36C6" w:rsidP="00505B0A">
            <w:pPr>
              <w:pStyle w:val="Rowcolumntitles"/>
              <w:jc w:val="center"/>
            </w:pPr>
          </w:p>
        </w:tc>
        <w:tc>
          <w:tcPr>
            <w:tcW w:w="361" w:type="dxa"/>
            <w:vMerge w:val="restart"/>
            <w:shd w:val="clear" w:color="auto" w:fill="D6E3BC" w:themeFill="accent3" w:themeFillTint="66"/>
            <w:vAlign w:val="center"/>
          </w:tcPr>
          <w:p w:rsidR="005B36C6" w:rsidRPr="004B1C12" w:rsidRDefault="005B36C6" w:rsidP="00505B0A">
            <w:pPr>
              <w:pStyle w:val="Rowcolumntitles"/>
              <w:jc w:val="center"/>
              <w:rPr>
                <w:rFonts w:eastAsia="Times New Roman"/>
              </w:rPr>
            </w:pPr>
            <w:r w:rsidRPr="0010229D">
              <w:rPr>
                <w:rFonts w:ascii="MS Mincho" w:eastAsia="MS Mincho" w:hAnsi="MS Mincho" w:cs="MS Mincho"/>
                <w:sz w:val="20"/>
              </w:rPr>
              <w:t>✔</w:t>
            </w:r>
          </w:p>
        </w:tc>
        <w:tc>
          <w:tcPr>
            <w:tcW w:w="597" w:type="dxa"/>
            <w:gridSpan w:val="2"/>
            <w:vMerge w:val="restart"/>
            <w:shd w:val="clear" w:color="auto" w:fill="FBD4B4" w:themeFill="accent6" w:themeFillTint="66"/>
            <w:vAlign w:val="center"/>
          </w:tcPr>
          <w:p w:rsidR="005B36C6" w:rsidRPr="004B1C12" w:rsidRDefault="005B36C6" w:rsidP="00505B0A">
            <w:pPr>
              <w:pStyle w:val="Rowcolumntitles"/>
              <w:jc w:val="center"/>
              <w:rPr>
                <w:rFonts w:eastAsia="Times New Roman"/>
              </w:rPr>
            </w:pPr>
            <w:r w:rsidRPr="0010229D">
              <w:rPr>
                <w:rFonts w:ascii="MS Mincho" w:eastAsia="MS Mincho" w:hAnsi="MS Mincho" w:cs="MS Mincho"/>
                <w:sz w:val="20"/>
              </w:rPr>
              <w:t>✔</w:t>
            </w:r>
          </w:p>
        </w:tc>
        <w:tc>
          <w:tcPr>
            <w:tcW w:w="597" w:type="dxa"/>
            <w:gridSpan w:val="2"/>
            <w:vMerge w:val="restart"/>
            <w:shd w:val="clear" w:color="auto" w:fill="FBD4B4" w:themeFill="accent6" w:themeFillTint="66"/>
            <w:vAlign w:val="center"/>
          </w:tcPr>
          <w:p w:rsidR="005B36C6" w:rsidRPr="004B1C12" w:rsidRDefault="005B36C6" w:rsidP="00505B0A">
            <w:pPr>
              <w:pStyle w:val="Rowcolumntitles"/>
              <w:jc w:val="center"/>
              <w:rPr>
                <w:rFonts w:eastAsia="Times New Roman"/>
              </w:rPr>
            </w:pPr>
            <w:r w:rsidRPr="0010229D">
              <w:rPr>
                <w:rFonts w:ascii="MS Mincho" w:eastAsia="MS Mincho" w:hAnsi="MS Mincho" w:cs="MS Mincho"/>
                <w:sz w:val="20"/>
              </w:rPr>
              <w:t>✔</w:t>
            </w:r>
          </w:p>
        </w:tc>
        <w:tc>
          <w:tcPr>
            <w:tcW w:w="597" w:type="dxa"/>
            <w:gridSpan w:val="2"/>
            <w:vMerge w:val="restart"/>
            <w:shd w:val="clear" w:color="auto" w:fill="FBD4B4" w:themeFill="accent6" w:themeFillTint="66"/>
            <w:vAlign w:val="center"/>
          </w:tcPr>
          <w:p w:rsidR="005B36C6" w:rsidRPr="004B1C12" w:rsidRDefault="005B36C6" w:rsidP="00505B0A">
            <w:pPr>
              <w:pStyle w:val="Rowcolumntitles"/>
              <w:jc w:val="center"/>
              <w:rPr>
                <w:rFonts w:eastAsia="Times New Roman"/>
              </w:rPr>
            </w:pPr>
          </w:p>
        </w:tc>
        <w:tc>
          <w:tcPr>
            <w:tcW w:w="597" w:type="dxa"/>
            <w:vMerge w:val="restart"/>
            <w:shd w:val="clear" w:color="auto" w:fill="FBD4B4" w:themeFill="accent6" w:themeFillTint="66"/>
            <w:vAlign w:val="center"/>
          </w:tcPr>
          <w:p w:rsidR="005B36C6" w:rsidRPr="004B1C12" w:rsidRDefault="005B36C6"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rsidR="005B36C6" w:rsidRPr="004B1C12" w:rsidRDefault="005B36C6" w:rsidP="00505B0A">
            <w:pPr>
              <w:pStyle w:val="Rowcolumntitles"/>
              <w:jc w:val="center"/>
            </w:pPr>
          </w:p>
        </w:tc>
        <w:tc>
          <w:tcPr>
            <w:tcW w:w="372" w:type="dxa"/>
            <w:vMerge w:val="restart"/>
            <w:shd w:val="clear" w:color="auto" w:fill="CCC0D9" w:themeFill="accent4" w:themeFillTint="66"/>
            <w:vAlign w:val="center"/>
          </w:tcPr>
          <w:p w:rsidR="005B36C6" w:rsidRPr="004B1C12" w:rsidRDefault="005B36C6" w:rsidP="00505B0A">
            <w:pPr>
              <w:pStyle w:val="Rowcolumntitles"/>
              <w:jc w:val="center"/>
              <w:rPr>
                <w:rFonts w:eastAsia="Times New Roman"/>
              </w:rPr>
            </w:pPr>
          </w:p>
        </w:tc>
        <w:tc>
          <w:tcPr>
            <w:tcW w:w="372" w:type="dxa"/>
            <w:vMerge w:val="restart"/>
            <w:shd w:val="clear" w:color="auto" w:fill="CCC0D9" w:themeFill="accent4" w:themeFillTint="66"/>
            <w:vAlign w:val="center"/>
          </w:tcPr>
          <w:p w:rsidR="005B36C6" w:rsidRPr="004B1C12" w:rsidRDefault="005B36C6" w:rsidP="00505B0A">
            <w:pPr>
              <w:pStyle w:val="Rowcolumntitles"/>
              <w:jc w:val="center"/>
            </w:pPr>
            <w:r w:rsidRPr="0010229D">
              <w:rPr>
                <w:rFonts w:ascii="Menlo Bold" w:eastAsia="MS Mincho" w:hAnsi="Menlo Bold" w:cs="Menlo Bold"/>
                <w:sz w:val="20"/>
              </w:rPr>
              <w:t>✔</w:t>
            </w:r>
          </w:p>
        </w:tc>
        <w:tc>
          <w:tcPr>
            <w:tcW w:w="373" w:type="dxa"/>
            <w:vMerge w:val="restart"/>
            <w:shd w:val="clear" w:color="auto" w:fill="CCC0D9" w:themeFill="accent4" w:themeFillTint="66"/>
            <w:vAlign w:val="center"/>
          </w:tcPr>
          <w:p w:rsidR="005B36C6" w:rsidRPr="004B1C12" w:rsidRDefault="005B36C6" w:rsidP="00505B0A">
            <w:pPr>
              <w:pStyle w:val="Rowcolumntitles"/>
              <w:jc w:val="center"/>
              <w:rPr>
                <w:rFonts w:eastAsia="Times New Roman"/>
              </w:rPr>
            </w:pPr>
          </w:p>
        </w:tc>
        <w:tc>
          <w:tcPr>
            <w:tcW w:w="573" w:type="dxa"/>
            <w:vMerge w:val="restart"/>
            <w:shd w:val="clear" w:color="auto" w:fill="B8CCE4" w:themeFill="accent1" w:themeFillTint="66"/>
            <w:vAlign w:val="center"/>
          </w:tcPr>
          <w:p w:rsidR="005B36C6" w:rsidRPr="004B1C12" w:rsidRDefault="005B36C6" w:rsidP="00505B0A">
            <w:pPr>
              <w:pStyle w:val="Rowcolumntitles"/>
              <w:jc w:val="center"/>
            </w:pPr>
          </w:p>
        </w:tc>
        <w:tc>
          <w:tcPr>
            <w:tcW w:w="630" w:type="dxa"/>
            <w:vMerge w:val="restart"/>
            <w:shd w:val="clear" w:color="auto" w:fill="B8CCE4" w:themeFill="accent1"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3" w:type="dxa"/>
            <w:vMerge w:val="restart"/>
            <w:shd w:val="clear" w:color="auto" w:fill="B8CCE4" w:themeFill="accent1" w:themeFillTint="66"/>
            <w:vAlign w:val="center"/>
          </w:tcPr>
          <w:p w:rsidR="005B36C6" w:rsidRPr="004B1C12" w:rsidRDefault="005B36C6" w:rsidP="00505B0A">
            <w:pPr>
              <w:pStyle w:val="Rowcolumntitles"/>
              <w:jc w:val="center"/>
              <w:rPr>
                <w:rFonts w:eastAsia="Times New Roman"/>
              </w:rPr>
            </w:pPr>
          </w:p>
        </w:tc>
        <w:tc>
          <w:tcPr>
            <w:tcW w:w="406" w:type="dxa"/>
            <w:vMerge w:val="restart"/>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343" w:type="dxa"/>
            <w:vMerge w:val="restart"/>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343" w:type="dxa"/>
            <w:vMerge w:val="restart"/>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343" w:type="dxa"/>
            <w:vMerge w:val="restart"/>
            <w:shd w:val="clear" w:color="auto" w:fill="D99594" w:themeFill="accent2" w:themeFillTint="99"/>
            <w:vAlign w:val="center"/>
          </w:tcPr>
          <w:p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435" w:type="dxa"/>
            <w:vMerge w:val="restart"/>
            <w:shd w:val="clear" w:color="auto" w:fill="D99594" w:themeFill="accent2" w:themeFillTint="99"/>
            <w:vAlign w:val="center"/>
          </w:tcPr>
          <w:p w:rsidR="005B36C6" w:rsidRPr="004B1C12" w:rsidRDefault="005B36C6" w:rsidP="00505B0A">
            <w:pPr>
              <w:pStyle w:val="Rowcolumntitles"/>
              <w:jc w:val="center"/>
              <w:rPr>
                <w:rFonts w:eastAsia="Times New Roman"/>
              </w:rPr>
            </w:pPr>
          </w:p>
        </w:tc>
      </w:tr>
      <w:tr w:rsidR="005B36C6" w:rsidRPr="004B1C12" w:rsidTr="004E0775">
        <w:trPr>
          <w:trHeight w:val="760"/>
        </w:trPr>
        <w:tc>
          <w:tcPr>
            <w:tcW w:w="1628" w:type="dxa"/>
            <w:vMerge/>
            <w:shd w:val="clear" w:color="auto" w:fill="000000" w:themeFill="text1"/>
            <w:vAlign w:val="center"/>
          </w:tcPr>
          <w:p w:rsidR="005B36C6" w:rsidRDefault="005B36C6" w:rsidP="00C439CF">
            <w:pPr>
              <w:rPr>
                <w:color w:val="FFFFFF" w:themeColor="background1"/>
              </w:rPr>
            </w:pPr>
          </w:p>
        </w:tc>
        <w:tc>
          <w:tcPr>
            <w:tcW w:w="453" w:type="dxa"/>
            <w:vMerge/>
            <w:shd w:val="clear" w:color="auto" w:fill="D6E3BC" w:themeFill="accent3" w:themeFillTint="66"/>
            <w:vAlign w:val="center"/>
          </w:tcPr>
          <w:p w:rsidR="005B36C6" w:rsidRPr="004B1C12" w:rsidRDefault="005B36C6" w:rsidP="00505B0A">
            <w:pPr>
              <w:pStyle w:val="Rowcolumntitles"/>
              <w:jc w:val="center"/>
            </w:pPr>
          </w:p>
        </w:tc>
        <w:tc>
          <w:tcPr>
            <w:tcW w:w="456" w:type="dxa"/>
            <w:vMerge/>
            <w:shd w:val="clear" w:color="auto" w:fill="D6E3BC" w:themeFill="accent3" w:themeFillTint="66"/>
            <w:vAlign w:val="center"/>
          </w:tcPr>
          <w:p w:rsidR="005B36C6" w:rsidRPr="004B1C12" w:rsidRDefault="005B36C6" w:rsidP="00505B0A">
            <w:pPr>
              <w:pStyle w:val="Rowcolumntitles"/>
              <w:jc w:val="center"/>
              <w:rPr>
                <w:rFonts w:eastAsia="Times New Roman"/>
              </w:rPr>
            </w:pPr>
          </w:p>
        </w:tc>
        <w:tc>
          <w:tcPr>
            <w:tcW w:w="360" w:type="dxa"/>
            <w:vMerge/>
            <w:shd w:val="clear" w:color="auto" w:fill="D6E3BC" w:themeFill="accent3" w:themeFillTint="66"/>
            <w:vAlign w:val="center"/>
          </w:tcPr>
          <w:p w:rsidR="005B36C6" w:rsidRPr="004B1C12" w:rsidRDefault="005B36C6" w:rsidP="00505B0A">
            <w:pPr>
              <w:pStyle w:val="Rowcolumntitles"/>
              <w:jc w:val="center"/>
            </w:pPr>
          </w:p>
        </w:tc>
        <w:tc>
          <w:tcPr>
            <w:tcW w:w="361" w:type="dxa"/>
            <w:vMerge/>
            <w:shd w:val="clear" w:color="auto" w:fill="D6E3BC" w:themeFill="accent3"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rsidR="005B36C6" w:rsidRPr="004B1C12" w:rsidRDefault="005B36C6" w:rsidP="00505B0A">
            <w:pPr>
              <w:pStyle w:val="Rowcolumntitles"/>
              <w:jc w:val="center"/>
              <w:rPr>
                <w:rFonts w:eastAsia="Times New Roman"/>
              </w:rPr>
            </w:pPr>
          </w:p>
        </w:tc>
        <w:tc>
          <w:tcPr>
            <w:tcW w:w="597" w:type="dxa"/>
            <w:vMerge/>
            <w:shd w:val="clear" w:color="auto" w:fill="FBD4B4" w:themeFill="accent6"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rsidR="005B36C6" w:rsidRPr="004B1C12" w:rsidRDefault="005B36C6" w:rsidP="00505B0A">
            <w:pPr>
              <w:pStyle w:val="Rowcolumntitles"/>
              <w:jc w:val="center"/>
            </w:pPr>
          </w:p>
        </w:tc>
        <w:tc>
          <w:tcPr>
            <w:tcW w:w="372" w:type="dxa"/>
            <w:vMerge/>
            <w:shd w:val="clear" w:color="auto" w:fill="CCC0D9" w:themeFill="accent4" w:themeFillTint="66"/>
            <w:vAlign w:val="center"/>
          </w:tcPr>
          <w:p w:rsidR="005B36C6" w:rsidRPr="004B1C12" w:rsidRDefault="005B36C6" w:rsidP="00505B0A">
            <w:pPr>
              <w:pStyle w:val="Rowcolumntitles"/>
              <w:jc w:val="center"/>
              <w:rPr>
                <w:rFonts w:eastAsia="Times New Roman"/>
              </w:rPr>
            </w:pPr>
          </w:p>
        </w:tc>
        <w:tc>
          <w:tcPr>
            <w:tcW w:w="372" w:type="dxa"/>
            <w:vMerge/>
            <w:shd w:val="clear" w:color="auto" w:fill="CCC0D9" w:themeFill="accent4" w:themeFillTint="66"/>
            <w:vAlign w:val="center"/>
          </w:tcPr>
          <w:p w:rsidR="005B36C6" w:rsidRPr="0010229D" w:rsidRDefault="005B36C6" w:rsidP="00505B0A">
            <w:pPr>
              <w:pStyle w:val="Rowcolumntitles"/>
              <w:jc w:val="center"/>
              <w:rPr>
                <w:rFonts w:ascii="Menlo Bold" w:eastAsia="MS Mincho" w:hAnsi="Menlo Bold" w:cs="Menlo Bold"/>
                <w:sz w:val="20"/>
              </w:rPr>
            </w:pPr>
          </w:p>
        </w:tc>
        <w:tc>
          <w:tcPr>
            <w:tcW w:w="373" w:type="dxa"/>
            <w:vMerge/>
            <w:shd w:val="clear" w:color="auto" w:fill="CCC0D9" w:themeFill="accent4" w:themeFillTint="66"/>
            <w:vAlign w:val="center"/>
          </w:tcPr>
          <w:p w:rsidR="005B36C6" w:rsidRPr="004B1C12" w:rsidRDefault="005B36C6" w:rsidP="00505B0A">
            <w:pPr>
              <w:pStyle w:val="Rowcolumntitles"/>
              <w:jc w:val="center"/>
              <w:rPr>
                <w:rFonts w:eastAsia="Times New Roman"/>
              </w:rPr>
            </w:pPr>
          </w:p>
        </w:tc>
        <w:tc>
          <w:tcPr>
            <w:tcW w:w="573" w:type="dxa"/>
            <w:vMerge/>
            <w:shd w:val="clear" w:color="auto" w:fill="B8CCE4" w:themeFill="accent1" w:themeFillTint="66"/>
            <w:vAlign w:val="center"/>
          </w:tcPr>
          <w:p w:rsidR="005B36C6" w:rsidRPr="004B1C12" w:rsidRDefault="005B36C6" w:rsidP="00505B0A">
            <w:pPr>
              <w:pStyle w:val="Rowcolumntitles"/>
              <w:jc w:val="center"/>
            </w:pPr>
          </w:p>
        </w:tc>
        <w:tc>
          <w:tcPr>
            <w:tcW w:w="630" w:type="dxa"/>
            <w:vMerge/>
            <w:shd w:val="clear" w:color="auto" w:fill="B8CCE4" w:themeFill="accent1" w:themeFillTint="66"/>
            <w:vAlign w:val="center"/>
          </w:tcPr>
          <w:p w:rsidR="005B36C6" w:rsidRPr="0010229D" w:rsidRDefault="005B36C6"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3" w:type="dxa"/>
            <w:vMerge/>
            <w:shd w:val="clear" w:color="auto" w:fill="B8CCE4" w:themeFill="accent1" w:themeFillTint="66"/>
            <w:vAlign w:val="center"/>
          </w:tcPr>
          <w:p w:rsidR="005B36C6" w:rsidRPr="004B1C12" w:rsidRDefault="005B36C6" w:rsidP="00505B0A">
            <w:pPr>
              <w:pStyle w:val="Rowcolumntitles"/>
              <w:jc w:val="center"/>
              <w:rPr>
                <w:rFonts w:eastAsia="Times New Roman"/>
              </w:rPr>
            </w:pPr>
          </w:p>
        </w:tc>
        <w:tc>
          <w:tcPr>
            <w:tcW w:w="406" w:type="dxa"/>
            <w:vMerge/>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rsidR="005B36C6" w:rsidRPr="004B1C12" w:rsidRDefault="005B36C6" w:rsidP="00505B0A">
            <w:pPr>
              <w:pStyle w:val="Rowcolumntitles"/>
              <w:jc w:val="center"/>
              <w:rPr>
                <w:rFonts w:eastAsia="Times New Roman"/>
              </w:rPr>
            </w:pPr>
          </w:p>
        </w:tc>
        <w:tc>
          <w:tcPr>
            <w:tcW w:w="435" w:type="dxa"/>
            <w:vMerge/>
            <w:shd w:val="clear" w:color="auto" w:fill="D99594" w:themeFill="accent2" w:themeFillTint="99"/>
            <w:vAlign w:val="center"/>
          </w:tcPr>
          <w:p w:rsidR="005B36C6" w:rsidRPr="004B1C12" w:rsidRDefault="005B36C6" w:rsidP="00505B0A">
            <w:pPr>
              <w:pStyle w:val="Rowcolumntitles"/>
              <w:jc w:val="center"/>
              <w:rPr>
                <w:rFonts w:eastAsia="Times New Roman"/>
              </w:rPr>
            </w:pPr>
          </w:p>
        </w:tc>
      </w:tr>
      <w:tr w:rsidR="005B36C6" w:rsidRPr="004B1C12" w:rsidTr="004E0775">
        <w:trPr>
          <w:trHeight w:val="1220"/>
        </w:trPr>
        <w:tc>
          <w:tcPr>
            <w:tcW w:w="1628" w:type="dxa"/>
            <w:vMerge w:val="restart"/>
            <w:shd w:val="clear" w:color="auto" w:fill="000000" w:themeFill="text1"/>
            <w:vAlign w:val="center"/>
          </w:tcPr>
          <w:p w:rsidR="005B36C6" w:rsidRPr="004B1C12" w:rsidRDefault="005B36C6" w:rsidP="005B36C6">
            <w:pPr>
              <w:rPr>
                <w:color w:val="FFFFFF" w:themeColor="background1"/>
              </w:rPr>
            </w:pPr>
            <w:r>
              <w:rPr>
                <w:color w:val="FFFFFF"/>
                <w:szCs w:val="22"/>
              </w:rPr>
              <w:t>24. Electronic Mechanism for Local Budget Planning in Kutaisi, Ozurgeti, Batumi, and Akhaltsikhe</w:t>
            </w:r>
          </w:p>
        </w:tc>
        <w:tc>
          <w:tcPr>
            <w:tcW w:w="453" w:type="dxa"/>
            <w:vMerge w:val="restart"/>
            <w:shd w:val="clear" w:color="auto" w:fill="D6E3BC" w:themeFill="accent3" w:themeFillTint="66"/>
            <w:vAlign w:val="center"/>
          </w:tcPr>
          <w:p w:rsidR="005B36C6" w:rsidRPr="004B1C12" w:rsidRDefault="005B36C6" w:rsidP="005B36C6">
            <w:pPr>
              <w:pStyle w:val="Rowcolumntitles"/>
              <w:jc w:val="center"/>
            </w:pPr>
          </w:p>
        </w:tc>
        <w:tc>
          <w:tcPr>
            <w:tcW w:w="456" w:type="dxa"/>
            <w:vMerge w:val="restart"/>
            <w:shd w:val="clear" w:color="auto" w:fill="D6E3BC" w:themeFill="accent3" w:themeFillTint="66"/>
            <w:vAlign w:val="center"/>
          </w:tcPr>
          <w:p w:rsidR="005B36C6" w:rsidRPr="004B1C12" w:rsidRDefault="005B36C6" w:rsidP="005B36C6">
            <w:pPr>
              <w:pStyle w:val="Rowcolumntitles"/>
              <w:jc w:val="center"/>
              <w:rPr>
                <w:rFonts w:eastAsia="Times New Roman"/>
              </w:rPr>
            </w:pPr>
          </w:p>
        </w:tc>
        <w:tc>
          <w:tcPr>
            <w:tcW w:w="360" w:type="dxa"/>
            <w:vMerge w:val="restart"/>
            <w:shd w:val="clear" w:color="auto" w:fill="D6E3BC" w:themeFill="accent3" w:themeFillTint="66"/>
            <w:vAlign w:val="center"/>
          </w:tcPr>
          <w:p w:rsidR="005B36C6" w:rsidRPr="004B1C12" w:rsidRDefault="005B36C6" w:rsidP="005B36C6">
            <w:pPr>
              <w:pStyle w:val="Rowcolumntitles"/>
              <w:jc w:val="center"/>
            </w:pPr>
            <w:r w:rsidRPr="006E7C15">
              <w:rPr>
                <w:rFonts w:ascii="MS Mincho" w:eastAsia="MS Mincho" w:hAnsi="MS Mincho" w:cs="MS Mincho"/>
                <w:sz w:val="20"/>
              </w:rPr>
              <w:t>✔</w:t>
            </w:r>
          </w:p>
        </w:tc>
        <w:tc>
          <w:tcPr>
            <w:tcW w:w="361" w:type="dxa"/>
            <w:vMerge w:val="restart"/>
            <w:shd w:val="clear" w:color="auto" w:fill="D6E3BC" w:themeFill="accent3" w:themeFillTint="66"/>
            <w:vAlign w:val="center"/>
          </w:tcPr>
          <w:p w:rsidR="005B36C6" w:rsidRPr="004B1C12" w:rsidRDefault="005B36C6" w:rsidP="005B36C6">
            <w:pPr>
              <w:pStyle w:val="Rowcolumntitles"/>
              <w:jc w:val="center"/>
              <w:rPr>
                <w:rFonts w:eastAsia="Times New Roman"/>
              </w:rPr>
            </w:pPr>
          </w:p>
        </w:tc>
        <w:tc>
          <w:tcPr>
            <w:tcW w:w="597" w:type="dxa"/>
            <w:gridSpan w:val="2"/>
            <w:vMerge w:val="restart"/>
            <w:shd w:val="clear" w:color="auto" w:fill="FBD4B4" w:themeFill="accent6" w:themeFillTint="66"/>
            <w:vAlign w:val="center"/>
          </w:tcPr>
          <w:p w:rsidR="005B36C6" w:rsidRPr="004B1C12" w:rsidRDefault="005B36C6" w:rsidP="005B36C6">
            <w:pPr>
              <w:pStyle w:val="Rowcolumntitles"/>
              <w:jc w:val="center"/>
              <w:rPr>
                <w:rFonts w:eastAsia="Times New Roman"/>
              </w:rPr>
            </w:pPr>
            <w:r w:rsidRPr="006E7C15">
              <w:rPr>
                <w:rFonts w:ascii="MS Mincho" w:eastAsia="MS Mincho" w:hAnsi="MS Mincho" w:cs="MS Mincho"/>
                <w:sz w:val="20"/>
              </w:rPr>
              <w:t>✔</w:t>
            </w:r>
          </w:p>
        </w:tc>
        <w:tc>
          <w:tcPr>
            <w:tcW w:w="597" w:type="dxa"/>
            <w:gridSpan w:val="2"/>
            <w:vMerge w:val="restart"/>
            <w:shd w:val="clear" w:color="auto" w:fill="FBD4B4" w:themeFill="accent6" w:themeFillTint="66"/>
            <w:vAlign w:val="center"/>
          </w:tcPr>
          <w:p w:rsidR="005B36C6" w:rsidRPr="004B1C12" w:rsidRDefault="005B36C6" w:rsidP="005B36C6">
            <w:pPr>
              <w:pStyle w:val="Rowcolumntitles"/>
              <w:jc w:val="center"/>
              <w:rPr>
                <w:rFonts w:eastAsia="Times New Roman"/>
              </w:rPr>
            </w:pPr>
            <w:r w:rsidRPr="006E7C15">
              <w:rPr>
                <w:rFonts w:ascii="MS Mincho" w:eastAsia="MS Mincho" w:hAnsi="MS Mincho" w:cs="MS Mincho"/>
                <w:sz w:val="20"/>
              </w:rPr>
              <w:t>✔</w:t>
            </w:r>
          </w:p>
        </w:tc>
        <w:tc>
          <w:tcPr>
            <w:tcW w:w="597" w:type="dxa"/>
            <w:gridSpan w:val="2"/>
            <w:vMerge w:val="restart"/>
            <w:shd w:val="clear" w:color="auto" w:fill="FBD4B4" w:themeFill="accent6" w:themeFillTint="66"/>
            <w:vAlign w:val="center"/>
          </w:tcPr>
          <w:p w:rsidR="005B36C6" w:rsidRPr="004B1C12" w:rsidRDefault="005B36C6" w:rsidP="005B36C6">
            <w:pPr>
              <w:pStyle w:val="Rowcolumntitles"/>
              <w:jc w:val="center"/>
              <w:rPr>
                <w:rFonts w:eastAsia="Times New Roman"/>
              </w:rPr>
            </w:pPr>
          </w:p>
        </w:tc>
        <w:tc>
          <w:tcPr>
            <w:tcW w:w="597" w:type="dxa"/>
            <w:vMerge w:val="restart"/>
            <w:shd w:val="clear" w:color="auto" w:fill="FBD4B4" w:themeFill="accent6" w:themeFillTint="66"/>
            <w:vAlign w:val="center"/>
          </w:tcPr>
          <w:p w:rsidR="005B36C6" w:rsidRPr="004B1C12" w:rsidRDefault="005B36C6" w:rsidP="005B36C6">
            <w:pPr>
              <w:pStyle w:val="Rowcolumntitles"/>
              <w:jc w:val="center"/>
              <w:rPr>
                <w:rFonts w:eastAsia="Times New Roman"/>
              </w:rPr>
            </w:pPr>
            <w:r w:rsidRPr="006E7C15">
              <w:rPr>
                <w:rFonts w:ascii="Menlo Bold" w:eastAsia="MS Mincho" w:hAnsi="Menlo Bold" w:cs="Menlo Bold"/>
                <w:sz w:val="20"/>
              </w:rPr>
              <w:t>✔</w:t>
            </w:r>
          </w:p>
        </w:tc>
        <w:tc>
          <w:tcPr>
            <w:tcW w:w="372" w:type="dxa"/>
            <w:vMerge w:val="restart"/>
            <w:shd w:val="clear" w:color="auto" w:fill="CCC0D9" w:themeFill="accent4" w:themeFillTint="66"/>
            <w:vAlign w:val="center"/>
          </w:tcPr>
          <w:p w:rsidR="005B36C6" w:rsidRPr="004B1C12" w:rsidRDefault="005B36C6" w:rsidP="005B36C6">
            <w:pPr>
              <w:pStyle w:val="Rowcolumntitles"/>
              <w:jc w:val="center"/>
            </w:pPr>
          </w:p>
        </w:tc>
        <w:tc>
          <w:tcPr>
            <w:tcW w:w="372" w:type="dxa"/>
            <w:vMerge w:val="restart"/>
            <w:shd w:val="clear" w:color="auto" w:fill="CCC0D9" w:themeFill="accent4" w:themeFillTint="66"/>
            <w:vAlign w:val="center"/>
          </w:tcPr>
          <w:p w:rsidR="005B36C6" w:rsidRPr="004B1C12" w:rsidRDefault="005B36C6" w:rsidP="005B36C6">
            <w:pPr>
              <w:pStyle w:val="Rowcolumntitles"/>
              <w:jc w:val="center"/>
              <w:rPr>
                <w:rFonts w:eastAsia="Times New Roman"/>
              </w:rPr>
            </w:pPr>
          </w:p>
        </w:tc>
        <w:tc>
          <w:tcPr>
            <w:tcW w:w="372" w:type="dxa"/>
            <w:vMerge w:val="restart"/>
            <w:shd w:val="clear" w:color="auto" w:fill="CCC0D9" w:themeFill="accent4" w:themeFillTint="66"/>
            <w:vAlign w:val="center"/>
          </w:tcPr>
          <w:p w:rsidR="005B36C6" w:rsidRPr="004B1C12" w:rsidRDefault="005B36C6" w:rsidP="005B36C6">
            <w:pPr>
              <w:pStyle w:val="Rowcolumntitles"/>
              <w:jc w:val="center"/>
            </w:pPr>
            <w:r w:rsidRPr="006E7C15">
              <w:rPr>
                <w:rFonts w:ascii="MS Mincho" w:eastAsia="MS Mincho" w:hAnsi="MS Mincho" w:cs="MS Mincho"/>
                <w:sz w:val="20"/>
              </w:rPr>
              <w:t>✔</w:t>
            </w:r>
          </w:p>
        </w:tc>
        <w:tc>
          <w:tcPr>
            <w:tcW w:w="373" w:type="dxa"/>
            <w:vMerge w:val="restart"/>
            <w:shd w:val="clear" w:color="auto" w:fill="CCC0D9" w:themeFill="accent4" w:themeFillTint="66"/>
            <w:vAlign w:val="center"/>
          </w:tcPr>
          <w:p w:rsidR="005B36C6" w:rsidRPr="004B1C12" w:rsidRDefault="005B36C6" w:rsidP="005B36C6">
            <w:pPr>
              <w:pStyle w:val="Rowcolumntitles"/>
              <w:jc w:val="center"/>
              <w:rPr>
                <w:rFonts w:eastAsia="Times New Roman"/>
              </w:rPr>
            </w:pPr>
          </w:p>
        </w:tc>
        <w:tc>
          <w:tcPr>
            <w:tcW w:w="573" w:type="dxa"/>
            <w:shd w:val="clear" w:color="auto" w:fill="B8CCE4" w:themeFill="accent1" w:themeFillTint="66"/>
            <w:vAlign w:val="center"/>
          </w:tcPr>
          <w:p w:rsidR="005B36C6" w:rsidRPr="004B1C12" w:rsidRDefault="005B36C6" w:rsidP="005B36C6">
            <w:pPr>
              <w:pStyle w:val="Rowcolumntitles"/>
              <w:jc w:val="center"/>
            </w:pPr>
          </w:p>
        </w:tc>
        <w:tc>
          <w:tcPr>
            <w:tcW w:w="630" w:type="dxa"/>
            <w:shd w:val="clear" w:color="auto" w:fill="B8CCE4" w:themeFill="accent1" w:themeFillTint="66"/>
            <w:vAlign w:val="center"/>
          </w:tcPr>
          <w:p w:rsidR="005B36C6" w:rsidRPr="0010229D" w:rsidRDefault="005B36C6" w:rsidP="005B36C6">
            <w:pPr>
              <w:pStyle w:val="Rowcolumntitles"/>
              <w:jc w:val="center"/>
              <w:rPr>
                <w:rFonts w:ascii="MS Mincho" w:eastAsia="MS Mincho" w:hAnsi="MS Mincho" w:cs="MS Mincho"/>
                <w:sz w:val="20"/>
              </w:rPr>
            </w:pPr>
            <w:r w:rsidRPr="006E7C15">
              <w:rPr>
                <w:rFonts w:ascii="Menlo Bold" w:eastAsia="MS Mincho" w:hAnsi="Menlo Bold" w:cs="Menlo Bold"/>
                <w:sz w:val="20"/>
              </w:rPr>
              <w:t>✔</w:t>
            </w:r>
          </w:p>
        </w:tc>
        <w:tc>
          <w:tcPr>
            <w:tcW w:w="450" w:type="dxa"/>
            <w:gridSpan w:val="2"/>
            <w:shd w:val="clear" w:color="auto" w:fill="B8CCE4" w:themeFill="accent1" w:themeFillTint="66"/>
            <w:vAlign w:val="center"/>
          </w:tcPr>
          <w:p w:rsidR="005B36C6" w:rsidRPr="004B1C12" w:rsidRDefault="005B36C6" w:rsidP="005B36C6">
            <w:pPr>
              <w:pStyle w:val="Rowcolumntitles"/>
              <w:jc w:val="center"/>
              <w:rPr>
                <w:rFonts w:eastAsia="Times New Roman"/>
              </w:rPr>
            </w:pPr>
          </w:p>
        </w:tc>
        <w:tc>
          <w:tcPr>
            <w:tcW w:w="593" w:type="dxa"/>
            <w:shd w:val="clear" w:color="auto" w:fill="B8CCE4" w:themeFill="accent1" w:themeFillTint="66"/>
            <w:vAlign w:val="center"/>
          </w:tcPr>
          <w:p w:rsidR="005B36C6" w:rsidRPr="004B1C12" w:rsidRDefault="005B36C6" w:rsidP="005B36C6">
            <w:pPr>
              <w:pStyle w:val="Rowcolumntitles"/>
              <w:jc w:val="center"/>
              <w:rPr>
                <w:rFonts w:eastAsia="Times New Roman"/>
              </w:rPr>
            </w:pPr>
          </w:p>
        </w:tc>
        <w:tc>
          <w:tcPr>
            <w:tcW w:w="406" w:type="dxa"/>
            <w:vMerge w:val="restart"/>
            <w:shd w:val="clear" w:color="auto" w:fill="D99594" w:themeFill="accent2" w:themeFillTint="99"/>
            <w:vAlign w:val="center"/>
          </w:tcPr>
          <w:p w:rsidR="005B36C6" w:rsidRPr="004B1C12" w:rsidRDefault="005B36C6" w:rsidP="005B36C6">
            <w:pPr>
              <w:pStyle w:val="Rowcolumntitles"/>
              <w:jc w:val="center"/>
              <w:rPr>
                <w:rFonts w:eastAsia="Times New Roman"/>
              </w:rPr>
            </w:pPr>
          </w:p>
        </w:tc>
        <w:tc>
          <w:tcPr>
            <w:tcW w:w="343" w:type="dxa"/>
            <w:vMerge w:val="restart"/>
            <w:shd w:val="clear" w:color="auto" w:fill="D99594" w:themeFill="accent2" w:themeFillTint="99"/>
            <w:vAlign w:val="center"/>
          </w:tcPr>
          <w:p w:rsidR="005B36C6" w:rsidRPr="004B1C12" w:rsidRDefault="005B36C6" w:rsidP="005B36C6">
            <w:pPr>
              <w:pStyle w:val="Rowcolumntitles"/>
              <w:jc w:val="center"/>
              <w:rPr>
                <w:rFonts w:eastAsia="Times New Roman"/>
              </w:rPr>
            </w:pPr>
          </w:p>
        </w:tc>
        <w:tc>
          <w:tcPr>
            <w:tcW w:w="343" w:type="dxa"/>
            <w:vMerge w:val="restart"/>
            <w:shd w:val="clear" w:color="auto" w:fill="D99594" w:themeFill="accent2" w:themeFillTint="99"/>
            <w:vAlign w:val="center"/>
          </w:tcPr>
          <w:p w:rsidR="005B36C6" w:rsidRPr="004B1C12" w:rsidRDefault="005B36C6" w:rsidP="005B36C6">
            <w:pPr>
              <w:pStyle w:val="Rowcolumntitles"/>
              <w:jc w:val="center"/>
              <w:rPr>
                <w:rFonts w:eastAsia="Times New Roman"/>
              </w:rPr>
            </w:pPr>
          </w:p>
        </w:tc>
        <w:tc>
          <w:tcPr>
            <w:tcW w:w="343" w:type="dxa"/>
            <w:vMerge w:val="restart"/>
            <w:shd w:val="clear" w:color="auto" w:fill="D99594" w:themeFill="accent2" w:themeFillTint="99"/>
            <w:vAlign w:val="center"/>
          </w:tcPr>
          <w:p w:rsidR="005B36C6" w:rsidRPr="004B1C12" w:rsidRDefault="005B36C6" w:rsidP="005B36C6">
            <w:pPr>
              <w:pStyle w:val="Rowcolumntitles"/>
              <w:jc w:val="center"/>
              <w:rPr>
                <w:rFonts w:eastAsia="Times New Roman"/>
              </w:rPr>
            </w:pPr>
            <w:r w:rsidRPr="006E7C15">
              <w:rPr>
                <w:rFonts w:ascii="Menlo Bold" w:eastAsia="MS Mincho" w:hAnsi="Menlo Bold" w:cs="Menlo Bold"/>
                <w:sz w:val="20"/>
              </w:rPr>
              <w:t>✔</w:t>
            </w:r>
          </w:p>
        </w:tc>
        <w:tc>
          <w:tcPr>
            <w:tcW w:w="435" w:type="dxa"/>
            <w:vMerge w:val="restart"/>
            <w:shd w:val="clear" w:color="auto" w:fill="D99594" w:themeFill="accent2" w:themeFillTint="99"/>
            <w:vAlign w:val="center"/>
          </w:tcPr>
          <w:p w:rsidR="005B36C6" w:rsidRPr="004B1C12" w:rsidRDefault="005B36C6" w:rsidP="005B36C6">
            <w:pPr>
              <w:pStyle w:val="Rowcolumntitles"/>
              <w:jc w:val="center"/>
              <w:rPr>
                <w:rFonts w:eastAsia="Times New Roman"/>
              </w:rPr>
            </w:pPr>
          </w:p>
        </w:tc>
      </w:tr>
      <w:tr w:rsidR="005B36C6" w:rsidRPr="004B1C12" w:rsidTr="004E0775">
        <w:trPr>
          <w:trHeight w:val="1219"/>
        </w:trPr>
        <w:tc>
          <w:tcPr>
            <w:tcW w:w="1628" w:type="dxa"/>
            <w:vMerge/>
            <w:shd w:val="clear" w:color="auto" w:fill="000000" w:themeFill="text1"/>
            <w:vAlign w:val="center"/>
          </w:tcPr>
          <w:p w:rsidR="005B36C6" w:rsidRPr="001821B2" w:rsidRDefault="005B36C6" w:rsidP="005B36C6">
            <w:pPr>
              <w:rPr>
                <w:color w:val="FFFFFF" w:themeColor="background1"/>
              </w:rPr>
            </w:pPr>
          </w:p>
        </w:tc>
        <w:tc>
          <w:tcPr>
            <w:tcW w:w="453" w:type="dxa"/>
            <w:vMerge/>
            <w:shd w:val="clear" w:color="auto" w:fill="D6E3BC" w:themeFill="accent3" w:themeFillTint="66"/>
            <w:vAlign w:val="center"/>
          </w:tcPr>
          <w:p w:rsidR="005B36C6" w:rsidRPr="004B1C12" w:rsidRDefault="005B36C6" w:rsidP="005B36C6">
            <w:pPr>
              <w:pStyle w:val="Rowcolumntitles"/>
              <w:jc w:val="center"/>
            </w:pPr>
          </w:p>
        </w:tc>
        <w:tc>
          <w:tcPr>
            <w:tcW w:w="456" w:type="dxa"/>
            <w:vMerge/>
            <w:shd w:val="clear" w:color="auto" w:fill="D6E3BC" w:themeFill="accent3" w:themeFillTint="66"/>
            <w:vAlign w:val="center"/>
          </w:tcPr>
          <w:p w:rsidR="005B36C6" w:rsidRPr="004B1C12" w:rsidRDefault="005B36C6" w:rsidP="005B36C6">
            <w:pPr>
              <w:pStyle w:val="Rowcolumntitles"/>
              <w:jc w:val="center"/>
              <w:rPr>
                <w:rFonts w:eastAsia="Times New Roman"/>
              </w:rPr>
            </w:pPr>
          </w:p>
        </w:tc>
        <w:tc>
          <w:tcPr>
            <w:tcW w:w="360" w:type="dxa"/>
            <w:vMerge/>
            <w:shd w:val="clear" w:color="auto" w:fill="D6E3BC" w:themeFill="accent3" w:themeFillTint="66"/>
            <w:vAlign w:val="center"/>
          </w:tcPr>
          <w:p w:rsidR="005B36C6" w:rsidRPr="004B1C12" w:rsidRDefault="005B36C6" w:rsidP="005B36C6">
            <w:pPr>
              <w:pStyle w:val="Rowcolumntitles"/>
              <w:jc w:val="center"/>
            </w:pPr>
          </w:p>
        </w:tc>
        <w:tc>
          <w:tcPr>
            <w:tcW w:w="361" w:type="dxa"/>
            <w:vMerge/>
            <w:shd w:val="clear" w:color="auto" w:fill="D6E3BC" w:themeFill="accent3" w:themeFillTint="66"/>
            <w:vAlign w:val="center"/>
          </w:tcPr>
          <w:p w:rsidR="005B36C6" w:rsidRPr="006E7C15" w:rsidRDefault="005B36C6" w:rsidP="005B36C6">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rsidR="005B36C6" w:rsidRPr="004B1C12" w:rsidRDefault="005B36C6" w:rsidP="005B36C6">
            <w:pPr>
              <w:pStyle w:val="Rowcolumntitles"/>
              <w:jc w:val="center"/>
              <w:rPr>
                <w:rFonts w:eastAsia="Times New Roman"/>
              </w:rPr>
            </w:pPr>
          </w:p>
        </w:tc>
        <w:tc>
          <w:tcPr>
            <w:tcW w:w="597" w:type="dxa"/>
            <w:gridSpan w:val="2"/>
            <w:vMerge/>
            <w:shd w:val="clear" w:color="auto" w:fill="FBD4B4" w:themeFill="accent6" w:themeFillTint="66"/>
            <w:vAlign w:val="center"/>
          </w:tcPr>
          <w:p w:rsidR="005B36C6" w:rsidRPr="004B1C12" w:rsidRDefault="005B36C6" w:rsidP="005B36C6">
            <w:pPr>
              <w:pStyle w:val="Rowcolumntitles"/>
              <w:jc w:val="center"/>
              <w:rPr>
                <w:rFonts w:eastAsia="Times New Roman"/>
              </w:rPr>
            </w:pPr>
          </w:p>
        </w:tc>
        <w:tc>
          <w:tcPr>
            <w:tcW w:w="597" w:type="dxa"/>
            <w:gridSpan w:val="2"/>
            <w:vMerge/>
            <w:shd w:val="clear" w:color="auto" w:fill="FBD4B4" w:themeFill="accent6" w:themeFillTint="66"/>
            <w:vAlign w:val="center"/>
          </w:tcPr>
          <w:p w:rsidR="005B36C6" w:rsidRPr="004B1C12" w:rsidRDefault="005B36C6" w:rsidP="005B36C6">
            <w:pPr>
              <w:pStyle w:val="Rowcolumntitles"/>
              <w:jc w:val="center"/>
              <w:rPr>
                <w:rFonts w:eastAsia="Times New Roman"/>
              </w:rPr>
            </w:pPr>
          </w:p>
        </w:tc>
        <w:tc>
          <w:tcPr>
            <w:tcW w:w="597" w:type="dxa"/>
            <w:vMerge/>
            <w:shd w:val="clear" w:color="auto" w:fill="FBD4B4" w:themeFill="accent6" w:themeFillTint="66"/>
            <w:vAlign w:val="center"/>
          </w:tcPr>
          <w:p w:rsidR="005B36C6" w:rsidRPr="004B1C12" w:rsidRDefault="005B36C6" w:rsidP="005B36C6">
            <w:pPr>
              <w:pStyle w:val="Rowcolumntitles"/>
              <w:jc w:val="center"/>
              <w:rPr>
                <w:rFonts w:eastAsia="Times New Roman"/>
              </w:rPr>
            </w:pPr>
          </w:p>
        </w:tc>
        <w:tc>
          <w:tcPr>
            <w:tcW w:w="372" w:type="dxa"/>
            <w:vMerge/>
            <w:shd w:val="clear" w:color="auto" w:fill="CCC0D9" w:themeFill="accent4" w:themeFillTint="66"/>
            <w:vAlign w:val="center"/>
          </w:tcPr>
          <w:p w:rsidR="005B36C6" w:rsidRPr="004B1C12" w:rsidRDefault="005B36C6" w:rsidP="005B36C6">
            <w:pPr>
              <w:pStyle w:val="Rowcolumntitles"/>
              <w:jc w:val="center"/>
            </w:pPr>
          </w:p>
        </w:tc>
        <w:tc>
          <w:tcPr>
            <w:tcW w:w="372" w:type="dxa"/>
            <w:vMerge/>
            <w:shd w:val="clear" w:color="auto" w:fill="CCC0D9" w:themeFill="accent4" w:themeFillTint="66"/>
            <w:vAlign w:val="center"/>
          </w:tcPr>
          <w:p w:rsidR="005B36C6" w:rsidRPr="004B1C12" w:rsidRDefault="005B36C6" w:rsidP="005B36C6">
            <w:pPr>
              <w:pStyle w:val="Rowcolumntitles"/>
              <w:jc w:val="center"/>
              <w:rPr>
                <w:rFonts w:eastAsia="Times New Roman"/>
              </w:rPr>
            </w:pPr>
          </w:p>
        </w:tc>
        <w:tc>
          <w:tcPr>
            <w:tcW w:w="372" w:type="dxa"/>
            <w:vMerge/>
            <w:shd w:val="clear" w:color="auto" w:fill="CCC0D9" w:themeFill="accent4" w:themeFillTint="66"/>
            <w:vAlign w:val="center"/>
          </w:tcPr>
          <w:p w:rsidR="005B36C6" w:rsidRPr="004B1C12" w:rsidRDefault="005B36C6" w:rsidP="005B36C6">
            <w:pPr>
              <w:pStyle w:val="Rowcolumntitles"/>
              <w:jc w:val="center"/>
            </w:pPr>
          </w:p>
        </w:tc>
        <w:tc>
          <w:tcPr>
            <w:tcW w:w="373" w:type="dxa"/>
            <w:vMerge/>
            <w:shd w:val="clear" w:color="auto" w:fill="CCC0D9" w:themeFill="accent4" w:themeFillTint="66"/>
            <w:vAlign w:val="center"/>
          </w:tcPr>
          <w:p w:rsidR="005B36C6" w:rsidRPr="004B1C12" w:rsidRDefault="005B36C6" w:rsidP="005B36C6">
            <w:pPr>
              <w:pStyle w:val="Rowcolumntitles"/>
              <w:jc w:val="center"/>
              <w:rPr>
                <w:rFonts w:eastAsia="Times New Roman"/>
              </w:rPr>
            </w:pPr>
          </w:p>
        </w:tc>
        <w:tc>
          <w:tcPr>
            <w:tcW w:w="573" w:type="dxa"/>
            <w:shd w:val="clear" w:color="auto" w:fill="B8CCE4" w:themeFill="accent1" w:themeFillTint="66"/>
            <w:vAlign w:val="center"/>
          </w:tcPr>
          <w:p w:rsidR="005B36C6" w:rsidRPr="004B1C12" w:rsidRDefault="005B36C6" w:rsidP="005B36C6">
            <w:pPr>
              <w:pStyle w:val="Rowcolumntitles"/>
              <w:jc w:val="center"/>
            </w:pPr>
          </w:p>
        </w:tc>
        <w:tc>
          <w:tcPr>
            <w:tcW w:w="630" w:type="dxa"/>
            <w:shd w:val="clear" w:color="auto" w:fill="B8CCE4" w:themeFill="accent1" w:themeFillTint="66"/>
            <w:vAlign w:val="center"/>
          </w:tcPr>
          <w:p w:rsidR="005B36C6" w:rsidRPr="0010229D" w:rsidRDefault="005B36C6" w:rsidP="005B36C6">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rsidR="005B36C6" w:rsidRPr="004B1C12" w:rsidRDefault="005B36C6" w:rsidP="005B36C6">
            <w:pPr>
              <w:pStyle w:val="Rowcolumntitles"/>
              <w:jc w:val="center"/>
              <w:rPr>
                <w:rFonts w:eastAsia="Times New Roman"/>
              </w:rPr>
            </w:pPr>
            <w:r w:rsidRPr="006E7C15">
              <w:rPr>
                <w:rFonts w:ascii="Menlo Bold" w:eastAsia="MS Mincho" w:hAnsi="Menlo Bold" w:cs="Menlo Bold"/>
                <w:sz w:val="20"/>
              </w:rPr>
              <w:t>✔</w:t>
            </w:r>
          </w:p>
        </w:tc>
        <w:tc>
          <w:tcPr>
            <w:tcW w:w="593" w:type="dxa"/>
            <w:shd w:val="clear" w:color="auto" w:fill="B8CCE4" w:themeFill="accent1" w:themeFillTint="66"/>
            <w:vAlign w:val="center"/>
          </w:tcPr>
          <w:p w:rsidR="005B36C6" w:rsidRPr="004B1C12" w:rsidRDefault="005B36C6" w:rsidP="005B36C6">
            <w:pPr>
              <w:pStyle w:val="Rowcolumntitles"/>
              <w:jc w:val="center"/>
              <w:rPr>
                <w:rFonts w:eastAsia="Times New Roman"/>
              </w:rPr>
            </w:pPr>
          </w:p>
        </w:tc>
        <w:tc>
          <w:tcPr>
            <w:tcW w:w="406" w:type="dxa"/>
            <w:vMerge/>
            <w:shd w:val="clear" w:color="auto" w:fill="D99594" w:themeFill="accent2" w:themeFillTint="99"/>
            <w:vAlign w:val="center"/>
          </w:tcPr>
          <w:p w:rsidR="005B36C6" w:rsidRPr="004B1C12" w:rsidRDefault="005B36C6" w:rsidP="005B36C6">
            <w:pPr>
              <w:pStyle w:val="Rowcolumntitles"/>
              <w:jc w:val="center"/>
              <w:rPr>
                <w:rFonts w:eastAsia="Times New Roman"/>
              </w:rPr>
            </w:pPr>
          </w:p>
        </w:tc>
        <w:tc>
          <w:tcPr>
            <w:tcW w:w="343" w:type="dxa"/>
            <w:vMerge/>
            <w:shd w:val="clear" w:color="auto" w:fill="D99594" w:themeFill="accent2" w:themeFillTint="99"/>
            <w:vAlign w:val="center"/>
          </w:tcPr>
          <w:p w:rsidR="005B36C6" w:rsidRPr="004B1C12" w:rsidRDefault="005B36C6" w:rsidP="005B36C6">
            <w:pPr>
              <w:pStyle w:val="Rowcolumntitles"/>
              <w:jc w:val="center"/>
              <w:rPr>
                <w:rFonts w:eastAsia="Times New Roman"/>
              </w:rPr>
            </w:pPr>
          </w:p>
        </w:tc>
        <w:tc>
          <w:tcPr>
            <w:tcW w:w="343" w:type="dxa"/>
            <w:vMerge/>
            <w:shd w:val="clear" w:color="auto" w:fill="D99594" w:themeFill="accent2" w:themeFillTint="99"/>
            <w:vAlign w:val="center"/>
          </w:tcPr>
          <w:p w:rsidR="005B36C6" w:rsidRPr="004B1C12" w:rsidRDefault="005B36C6" w:rsidP="005B36C6">
            <w:pPr>
              <w:pStyle w:val="Rowcolumntitles"/>
              <w:jc w:val="center"/>
              <w:rPr>
                <w:rFonts w:eastAsia="Times New Roman"/>
              </w:rPr>
            </w:pPr>
          </w:p>
        </w:tc>
        <w:tc>
          <w:tcPr>
            <w:tcW w:w="343" w:type="dxa"/>
            <w:vMerge/>
            <w:shd w:val="clear" w:color="auto" w:fill="D99594" w:themeFill="accent2" w:themeFillTint="99"/>
            <w:vAlign w:val="center"/>
          </w:tcPr>
          <w:p w:rsidR="005B36C6" w:rsidRPr="004B1C12" w:rsidRDefault="005B36C6" w:rsidP="005B36C6">
            <w:pPr>
              <w:pStyle w:val="Rowcolumntitles"/>
              <w:jc w:val="center"/>
              <w:rPr>
                <w:rFonts w:eastAsia="Times New Roman"/>
              </w:rPr>
            </w:pPr>
          </w:p>
        </w:tc>
        <w:tc>
          <w:tcPr>
            <w:tcW w:w="435" w:type="dxa"/>
            <w:vMerge/>
            <w:shd w:val="clear" w:color="auto" w:fill="D99594" w:themeFill="accent2" w:themeFillTint="99"/>
            <w:vAlign w:val="center"/>
          </w:tcPr>
          <w:p w:rsidR="005B36C6" w:rsidRPr="004B1C12" w:rsidRDefault="005B36C6" w:rsidP="005B36C6">
            <w:pPr>
              <w:pStyle w:val="Rowcolumntitles"/>
              <w:jc w:val="center"/>
              <w:rPr>
                <w:rFonts w:eastAsia="Times New Roman"/>
              </w:rPr>
            </w:pPr>
          </w:p>
        </w:tc>
      </w:tr>
    </w:tbl>
    <w:p w:rsidR="00617421" w:rsidRDefault="00617421" w:rsidP="00C60967">
      <w:pPr>
        <w:pStyle w:val="Heading2"/>
        <w:sectPr w:rsidR="00617421" w:rsidSect="002A2966">
          <w:footnotePr>
            <w:numRestart w:val="eachSect"/>
          </w:footnotePr>
          <w:endnotePr>
            <w:numFmt w:val="decimal"/>
            <w:numRestart w:val="eachSect"/>
          </w:endnotePr>
          <w:pgSz w:w="11907" w:h="16839" w:code="9"/>
          <w:pgMar w:top="1417" w:right="1417" w:bottom="1417" w:left="1417" w:header="0" w:footer="0" w:gutter="0"/>
          <w:cols w:space="708"/>
          <w:docGrid w:linePitch="360"/>
        </w:sectPr>
      </w:pPr>
      <w:bookmarkStart w:id="5" w:name="_Toc525759418"/>
    </w:p>
    <w:p w:rsidR="003368A4" w:rsidRDefault="003368A4">
      <w:pPr>
        <w:tabs>
          <w:tab w:val="clear" w:pos="2880"/>
        </w:tabs>
        <w:rPr>
          <w:rFonts w:eastAsiaTheme="majorEastAsia"/>
          <w:b/>
          <w:bCs/>
          <w:color w:val="1F497D" w:themeColor="text2"/>
          <w:sz w:val="26"/>
          <w:szCs w:val="26"/>
        </w:rPr>
      </w:pPr>
      <w:bookmarkStart w:id="6" w:name="_Toc409220373"/>
      <w:r>
        <w:lastRenderedPageBreak/>
        <w:br w:type="page"/>
      </w:r>
    </w:p>
    <w:p w:rsidR="00617421" w:rsidRPr="00D76F6D" w:rsidRDefault="00617421" w:rsidP="00C60967">
      <w:pPr>
        <w:pStyle w:val="Heading2"/>
        <w:rPr>
          <w:rFonts w:ascii="Sylfaen" w:hAnsi="Sylfaen"/>
        </w:rPr>
      </w:pPr>
      <w:r>
        <w:lastRenderedPageBreak/>
        <w:t xml:space="preserve">1. </w:t>
      </w:r>
      <w:bookmarkEnd w:id="5"/>
      <w:r w:rsidRPr="006E7C15">
        <w:t>Adapting the Public Service Hall to the needs of people with disabilities</w:t>
      </w:r>
      <w:bookmarkEnd w:id="6"/>
    </w:p>
    <w:p w:rsidR="00617421" w:rsidRPr="00B471A7" w:rsidRDefault="00617421" w:rsidP="00C60967"/>
    <w:p w:rsidR="00617421" w:rsidRDefault="00617421" w:rsidP="00C60967">
      <w:pPr>
        <w:pStyle w:val="APQuotefeaturetol"/>
      </w:pPr>
      <w:r w:rsidRPr="004B1C12">
        <w:rPr>
          <w:b/>
        </w:rPr>
        <w:t>Commitment Text:</w:t>
      </w:r>
      <w:r>
        <w:rPr>
          <w:b/>
        </w:rPr>
        <w:t xml:space="preserve"> </w:t>
      </w:r>
      <w:r>
        <w:t xml:space="preserve">In the framework of the Open Government Georgia’s Action Plan of 2014-2015, </w:t>
      </w:r>
      <w:bookmarkStart w:id="7" w:name="_Hlk525757311"/>
      <w:r>
        <w:t>LEPL – the Public Service Hall (PSH) successfully introduced a feedback system – “Voice of the Consumer”. By means of this program customers can fill out a special application and submit their comments/ recommendations to the PSH. On its part, PSH is liable to review the received letters within 30 days and take particular steps, if possible, and afterwards, contact the citizen and provide him/her with detailed information about his/her case.</w:t>
      </w:r>
    </w:p>
    <w:p w:rsidR="00617421" w:rsidRDefault="00617421" w:rsidP="00C60967">
      <w:pPr>
        <w:pStyle w:val="APQuotefeaturetol"/>
      </w:pPr>
      <w:r>
        <w:t>In November 2015, PSH was addressed by a citizen with disabilities via “Voice of the Consumer”. The author of the letter described the difficulties people with disabilities face in PSH while receiving public or private services. The letter also contained concrete recommendations about how to handle this problem.</w:t>
      </w:r>
    </w:p>
    <w:p w:rsidR="00617421" w:rsidRDefault="00617421" w:rsidP="00C60967">
      <w:pPr>
        <w:pStyle w:val="APQuotefeaturetol"/>
      </w:pPr>
      <w:r>
        <w:t>Together with the author of the letter and other organizations competent in the field, PSH developed a new project, which later was translated into the current commitment of the 3</w:t>
      </w:r>
      <w:r>
        <w:rPr>
          <w:vertAlign w:val="superscript"/>
        </w:rPr>
        <w:t>rd</w:t>
      </w:r>
      <w:r>
        <w:t xml:space="preserve"> Action Plan of Georgia.</w:t>
      </w:r>
    </w:p>
    <w:p w:rsidR="00617421" w:rsidRDefault="00617421" w:rsidP="00C60967">
      <w:pPr>
        <w:pStyle w:val="APQuotefeaturetol"/>
      </w:pPr>
      <w:r>
        <w:t>The goal of this commitment is that the infrastructure of PSH shall meet the standards that are mandatory for people with disabilities to move around and receive services without any trouble. At the initial stage, PSH decided to adapt Tbilisi branch to the needs of people with disabilities.</w:t>
      </w:r>
    </w:p>
    <w:p w:rsidR="00617421" w:rsidRDefault="00617421" w:rsidP="00C60967">
      <w:pPr>
        <w:pStyle w:val="APQuotefeaturetol"/>
        <w:numPr>
          <w:ilvl w:val="2"/>
          <w:numId w:val="11"/>
        </w:numPr>
        <w:ind w:left="720"/>
      </w:pPr>
      <w:r>
        <w:t>In the hall of PSH Tbilisi branch a special navigation system will be created for blind people or people with poor eyesight;</w:t>
      </w:r>
    </w:p>
    <w:p w:rsidR="00617421" w:rsidRDefault="00617421" w:rsidP="00C60967">
      <w:pPr>
        <w:pStyle w:val="APQuotefeaturetol"/>
      </w:pPr>
      <w:r>
        <w:t>Training of Tbilisi, Batumi, Kutaisi and Rustavi branch employees in terms of communication skills when interacting with disabled persons.</w:t>
      </w:r>
      <w:bookmarkEnd w:id="7"/>
    </w:p>
    <w:p w:rsidR="00617421" w:rsidRPr="00B471A7" w:rsidRDefault="00617421" w:rsidP="00C60967">
      <w:pPr>
        <w:pStyle w:val="APQuotefeaturetol"/>
      </w:pPr>
    </w:p>
    <w:p w:rsidR="00617421" w:rsidRPr="004B1C12" w:rsidRDefault="00617421" w:rsidP="00C60967">
      <w:pPr>
        <w:pStyle w:val="Normalrglronly"/>
      </w:pPr>
      <w:r w:rsidRPr="004B1C12">
        <w:t xml:space="preserve">Responsible Institution(s): </w:t>
      </w:r>
      <w:r>
        <w:rPr>
          <w:noProof/>
        </w:rPr>
        <w:t>LEPL – Public Service Hall, Ministry of Justice of Georgia</w:t>
      </w:r>
      <w:r w:rsidRPr="00562EF0">
        <w:rPr>
          <w:noProof/>
        </w:rPr>
        <w:t xml:space="preserve"> </w:t>
      </w:r>
    </w:p>
    <w:p w:rsidR="00617421" w:rsidRPr="004B1C12" w:rsidRDefault="00617421" w:rsidP="00C60967">
      <w:pPr>
        <w:pStyle w:val="Normalrglronly"/>
      </w:pPr>
      <w:r w:rsidRPr="004B1C12">
        <w:t xml:space="preserve">Supporting Institution(s): </w:t>
      </w:r>
      <w:r w:rsidRPr="00E122CE">
        <w:rPr>
          <w:noProof/>
        </w:rPr>
        <w:t xml:space="preserve">UNDP, Embassy of Poland, Coalition of Independent Living, NGO Mariani </w:t>
      </w:r>
    </w:p>
    <w:tbl>
      <w:tblPr>
        <w:tblpPr w:leftFromText="180" w:rightFromText="180" w:vertAnchor="text" w:horzAnchor="page" w:tblpX="924" w:tblpY="694"/>
        <w:tblW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439"/>
        <w:gridCol w:w="445"/>
        <w:gridCol w:w="358"/>
        <w:gridCol w:w="360"/>
        <w:gridCol w:w="385"/>
        <w:gridCol w:w="384"/>
        <w:gridCol w:w="385"/>
        <w:gridCol w:w="817"/>
        <w:gridCol w:w="445"/>
        <w:gridCol w:w="356"/>
        <w:gridCol w:w="445"/>
        <w:gridCol w:w="357"/>
        <w:gridCol w:w="534"/>
        <w:gridCol w:w="446"/>
        <w:gridCol w:w="623"/>
        <w:gridCol w:w="457"/>
        <w:gridCol w:w="356"/>
        <w:gridCol w:w="545"/>
        <w:gridCol w:w="460"/>
        <w:gridCol w:w="338"/>
        <w:gridCol w:w="339"/>
        <w:gridCol w:w="7"/>
      </w:tblGrid>
      <w:tr w:rsidR="00780B24" w:rsidRPr="0010229D" w:rsidTr="00780B24">
        <w:trPr>
          <w:trHeight w:val="249"/>
        </w:trPr>
        <w:tc>
          <w:tcPr>
            <w:tcW w:w="1578" w:type="dxa"/>
            <w:vMerge w:val="restart"/>
            <w:tcBorders>
              <w:top w:val="single" w:sz="18" w:space="0" w:color="FFFFFF"/>
              <w:left w:val="single" w:sz="4" w:space="0" w:color="FFFFFF"/>
              <w:right w:val="single" w:sz="18" w:space="0" w:color="FFFFFF"/>
            </w:tcBorders>
            <w:shd w:val="clear" w:color="auto" w:fill="000000"/>
            <w:vAlign w:val="center"/>
          </w:tcPr>
          <w:p w:rsidR="00780B24" w:rsidRPr="0010229D" w:rsidRDefault="00780B24" w:rsidP="00780B24">
            <w:pPr>
              <w:rPr>
                <w:color w:val="FFFFFF" w:themeColor="background1"/>
              </w:rPr>
            </w:pPr>
            <w:r w:rsidRPr="0010229D">
              <w:rPr>
                <w:color w:val="FFFFFF" w:themeColor="background1"/>
              </w:rPr>
              <w:t>Commitment Overview</w:t>
            </w:r>
          </w:p>
        </w:tc>
        <w:tc>
          <w:tcPr>
            <w:tcW w:w="1602" w:type="dxa"/>
            <w:gridSpan w:val="4"/>
            <w:vMerge w:val="restart"/>
            <w:tcBorders>
              <w:top w:val="single" w:sz="18" w:space="0" w:color="FFFFFF"/>
              <w:left w:val="single" w:sz="18" w:space="0" w:color="FFFFFF"/>
              <w:right w:val="single" w:sz="18" w:space="0" w:color="FFFFFF"/>
            </w:tcBorders>
            <w:shd w:val="clear" w:color="auto" w:fill="D6E3BC"/>
            <w:vAlign w:val="center"/>
          </w:tcPr>
          <w:p w:rsidR="00780B24" w:rsidRPr="0010229D" w:rsidRDefault="00780B24" w:rsidP="00780B24">
            <w:r w:rsidRPr="0010229D">
              <w:t>Specificity</w:t>
            </w:r>
          </w:p>
        </w:tc>
        <w:tc>
          <w:tcPr>
            <w:tcW w:w="1971" w:type="dxa"/>
            <w:gridSpan w:val="4"/>
            <w:vMerge w:val="restart"/>
            <w:tcBorders>
              <w:top w:val="single" w:sz="18" w:space="0" w:color="FFFFFF"/>
              <w:left w:val="single" w:sz="18" w:space="0" w:color="FFFFFF"/>
              <w:right w:val="single" w:sz="18" w:space="0" w:color="FFFFFF"/>
            </w:tcBorders>
            <w:shd w:val="clear" w:color="auto" w:fill="FBD4B4"/>
            <w:vAlign w:val="center"/>
          </w:tcPr>
          <w:p w:rsidR="00780B24" w:rsidRPr="0010229D" w:rsidRDefault="00780B24" w:rsidP="00780B24">
            <w:r w:rsidRPr="0010229D">
              <w:t>OGP Value Relevance (as written)</w:t>
            </w:r>
          </w:p>
        </w:tc>
        <w:tc>
          <w:tcPr>
            <w:tcW w:w="1603" w:type="dxa"/>
            <w:gridSpan w:val="4"/>
            <w:vMerge w:val="restart"/>
            <w:tcBorders>
              <w:top w:val="single" w:sz="18" w:space="0" w:color="FFFFFF"/>
              <w:left w:val="single" w:sz="18" w:space="0" w:color="FFFFFF"/>
              <w:right w:val="single" w:sz="18" w:space="0" w:color="FFFFFF"/>
            </w:tcBorders>
            <w:shd w:val="clear" w:color="auto" w:fill="CCC0D9"/>
            <w:vAlign w:val="center"/>
          </w:tcPr>
          <w:p w:rsidR="00780B24" w:rsidRPr="0010229D" w:rsidRDefault="00780B24" w:rsidP="00780B24">
            <w:r w:rsidRPr="0010229D">
              <w:t>Potential Impact</w:t>
            </w:r>
          </w:p>
        </w:tc>
        <w:tc>
          <w:tcPr>
            <w:tcW w:w="980" w:type="dxa"/>
            <w:gridSpan w:val="2"/>
            <w:vMerge w:val="restart"/>
            <w:tcBorders>
              <w:top w:val="single" w:sz="18" w:space="0" w:color="FFFFFF"/>
              <w:left w:val="single" w:sz="18" w:space="0" w:color="FFFFFF"/>
              <w:right w:val="single" w:sz="2" w:space="0" w:color="FFFFFF"/>
            </w:tcBorders>
            <w:shd w:val="clear" w:color="auto" w:fill="B8CCE4"/>
          </w:tcPr>
          <w:p w:rsidR="00780B24" w:rsidRPr="0010229D" w:rsidRDefault="00780B24" w:rsidP="00780B24">
            <w:r w:rsidRPr="0010229D">
              <w:t>Completion</w:t>
            </w:r>
          </w:p>
        </w:tc>
        <w:tc>
          <w:tcPr>
            <w:tcW w:w="1080" w:type="dxa"/>
            <w:gridSpan w:val="2"/>
            <w:tcBorders>
              <w:top w:val="single" w:sz="18" w:space="0" w:color="FFFFFF"/>
              <w:left w:val="single" w:sz="2" w:space="0" w:color="FFFFFF"/>
              <w:bottom w:val="single" w:sz="2" w:space="0" w:color="000000"/>
              <w:right w:val="single" w:sz="18" w:space="0" w:color="FFFFFF"/>
            </w:tcBorders>
            <w:shd w:val="clear" w:color="auto" w:fill="B8CCE4"/>
          </w:tcPr>
          <w:p w:rsidR="00780B24" w:rsidRPr="0010229D" w:rsidRDefault="00780B24" w:rsidP="00780B24">
            <w:r w:rsidRPr="0010229D">
              <w:t>Midterm</w:t>
            </w:r>
          </w:p>
        </w:tc>
        <w:tc>
          <w:tcPr>
            <w:tcW w:w="2045" w:type="dxa"/>
            <w:gridSpan w:val="6"/>
            <w:vMerge w:val="restart"/>
            <w:tcBorders>
              <w:top w:val="single" w:sz="18" w:space="0" w:color="FFFFFF"/>
              <w:left w:val="single" w:sz="18" w:space="0" w:color="FFFFFF"/>
              <w:right w:val="single" w:sz="18" w:space="0" w:color="FFFFFF"/>
            </w:tcBorders>
            <w:shd w:val="clear" w:color="auto" w:fill="D99594"/>
          </w:tcPr>
          <w:p w:rsidR="00780B24" w:rsidRPr="0010229D" w:rsidRDefault="00780B24" w:rsidP="00780B24">
            <w:r w:rsidRPr="0010229D">
              <w:t xml:space="preserve">Did </w:t>
            </w:r>
            <w:r w:rsidRPr="004B1C12">
              <w:t>I</w:t>
            </w:r>
            <w:r w:rsidRPr="0010229D">
              <w:t>t Open Government?</w:t>
            </w:r>
          </w:p>
        </w:tc>
      </w:tr>
      <w:tr w:rsidR="00780B24" w:rsidRPr="0010229D" w:rsidTr="00780B24">
        <w:trPr>
          <w:trHeight w:val="229"/>
        </w:trPr>
        <w:tc>
          <w:tcPr>
            <w:tcW w:w="1578" w:type="dxa"/>
            <w:vMerge/>
            <w:tcBorders>
              <w:left w:val="single" w:sz="4" w:space="0" w:color="FFFFFF"/>
              <w:right w:val="single" w:sz="18" w:space="0" w:color="FFFFFF"/>
            </w:tcBorders>
            <w:shd w:val="clear" w:color="auto" w:fill="000000"/>
            <w:vAlign w:val="center"/>
          </w:tcPr>
          <w:p w:rsidR="00780B24" w:rsidRPr="0010229D" w:rsidRDefault="00780B24" w:rsidP="00780B24">
            <w:pPr>
              <w:rPr>
                <w:color w:val="FFFFFF" w:themeColor="background1"/>
              </w:rPr>
            </w:pPr>
          </w:p>
        </w:tc>
        <w:tc>
          <w:tcPr>
            <w:tcW w:w="1602" w:type="dxa"/>
            <w:gridSpan w:val="4"/>
            <w:vMerge/>
            <w:tcBorders>
              <w:left w:val="single" w:sz="18" w:space="0" w:color="FFFFFF"/>
              <w:bottom w:val="single" w:sz="18" w:space="0" w:color="FFFFFF"/>
              <w:right w:val="single" w:sz="18" w:space="0" w:color="FFFFFF"/>
            </w:tcBorders>
            <w:shd w:val="clear" w:color="auto" w:fill="D6E3BC"/>
            <w:vAlign w:val="center"/>
          </w:tcPr>
          <w:p w:rsidR="00780B24" w:rsidRPr="0010229D" w:rsidRDefault="00780B24" w:rsidP="00780B24"/>
        </w:tc>
        <w:tc>
          <w:tcPr>
            <w:tcW w:w="1971" w:type="dxa"/>
            <w:gridSpan w:val="4"/>
            <w:vMerge/>
            <w:tcBorders>
              <w:left w:val="single" w:sz="18" w:space="0" w:color="FFFFFF"/>
              <w:bottom w:val="single" w:sz="18" w:space="0" w:color="FFFFFF"/>
              <w:right w:val="single" w:sz="18" w:space="0" w:color="FFFFFF"/>
            </w:tcBorders>
            <w:shd w:val="clear" w:color="auto" w:fill="FBD4B4"/>
            <w:vAlign w:val="center"/>
          </w:tcPr>
          <w:p w:rsidR="00780B24" w:rsidRPr="0010229D" w:rsidRDefault="00780B24" w:rsidP="00780B24"/>
        </w:tc>
        <w:tc>
          <w:tcPr>
            <w:tcW w:w="1603" w:type="dxa"/>
            <w:gridSpan w:val="4"/>
            <w:vMerge/>
            <w:tcBorders>
              <w:left w:val="single" w:sz="18" w:space="0" w:color="FFFFFF"/>
              <w:bottom w:val="single" w:sz="18" w:space="0" w:color="FFFFFF"/>
              <w:right w:val="single" w:sz="18" w:space="0" w:color="FFFFFF"/>
            </w:tcBorders>
            <w:shd w:val="clear" w:color="auto" w:fill="CCC0D9"/>
            <w:vAlign w:val="center"/>
          </w:tcPr>
          <w:p w:rsidR="00780B24" w:rsidRPr="0010229D" w:rsidRDefault="00780B24" w:rsidP="00780B24"/>
        </w:tc>
        <w:tc>
          <w:tcPr>
            <w:tcW w:w="980" w:type="dxa"/>
            <w:gridSpan w:val="2"/>
            <w:vMerge/>
            <w:tcBorders>
              <w:left w:val="single" w:sz="18" w:space="0" w:color="FFFFFF"/>
              <w:bottom w:val="single" w:sz="18" w:space="0" w:color="FFFFFF"/>
              <w:right w:val="single" w:sz="2" w:space="0" w:color="FFFFFF"/>
            </w:tcBorders>
            <w:shd w:val="clear" w:color="auto" w:fill="B8CCE4"/>
          </w:tcPr>
          <w:p w:rsidR="00780B24" w:rsidRPr="0010229D" w:rsidRDefault="00780B24" w:rsidP="00780B24"/>
        </w:tc>
        <w:tc>
          <w:tcPr>
            <w:tcW w:w="1080" w:type="dxa"/>
            <w:gridSpan w:val="2"/>
            <w:tcBorders>
              <w:top w:val="single" w:sz="2" w:space="0" w:color="000000"/>
              <w:left w:val="single" w:sz="2" w:space="0" w:color="FFFFFF"/>
              <w:bottom w:val="single" w:sz="18" w:space="0" w:color="FFFFFF"/>
              <w:right w:val="single" w:sz="18" w:space="0" w:color="FFFFFF"/>
            </w:tcBorders>
            <w:shd w:val="clear" w:color="auto" w:fill="B8CCE4"/>
          </w:tcPr>
          <w:p w:rsidR="00780B24" w:rsidRPr="0010229D" w:rsidRDefault="00780B24" w:rsidP="00780B24">
            <w:r w:rsidRPr="0010229D">
              <w:t>End of Term</w:t>
            </w:r>
          </w:p>
        </w:tc>
        <w:tc>
          <w:tcPr>
            <w:tcW w:w="2045" w:type="dxa"/>
            <w:gridSpan w:val="6"/>
            <w:vMerge/>
            <w:tcBorders>
              <w:left w:val="single" w:sz="18" w:space="0" w:color="FFFFFF"/>
              <w:bottom w:val="single" w:sz="18" w:space="0" w:color="FFFFFF"/>
              <w:right w:val="single" w:sz="18" w:space="0" w:color="FFFFFF"/>
            </w:tcBorders>
            <w:shd w:val="clear" w:color="auto" w:fill="D99594"/>
          </w:tcPr>
          <w:p w:rsidR="00780B24" w:rsidRPr="0010229D" w:rsidRDefault="00780B24" w:rsidP="00780B24"/>
        </w:tc>
      </w:tr>
      <w:tr w:rsidR="00780B24" w:rsidRPr="0010229D" w:rsidTr="00780B24">
        <w:trPr>
          <w:gridAfter w:val="1"/>
          <w:wAfter w:w="7" w:type="dxa"/>
          <w:cantSplit/>
          <w:trHeight w:val="1843"/>
        </w:trPr>
        <w:tc>
          <w:tcPr>
            <w:tcW w:w="1578" w:type="dxa"/>
            <w:vMerge/>
            <w:tcBorders>
              <w:left w:val="single" w:sz="4" w:space="0" w:color="FFFFFF"/>
              <w:bottom w:val="single" w:sz="18" w:space="0" w:color="FFFFFF"/>
              <w:right w:val="single" w:sz="18" w:space="0" w:color="FFFFFF"/>
            </w:tcBorders>
            <w:shd w:val="clear" w:color="auto" w:fill="000000"/>
          </w:tcPr>
          <w:p w:rsidR="00780B24" w:rsidRPr="0010229D" w:rsidRDefault="00780B24" w:rsidP="00780B24">
            <w:pPr>
              <w:rPr>
                <w:color w:val="FFFFFF" w:themeColor="background1"/>
              </w:rPr>
            </w:pPr>
          </w:p>
        </w:tc>
        <w:tc>
          <w:tcPr>
            <w:tcW w:w="439"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780B24" w:rsidRPr="0010229D" w:rsidRDefault="00780B24" w:rsidP="00780B24">
            <w:r w:rsidRPr="0010229D">
              <w:t>None</w:t>
            </w:r>
          </w:p>
        </w:tc>
        <w:tc>
          <w:tcPr>
            <w:tcW w:w="445"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780B24" w:rsidRPr="0010229D" w:rsidRDefault="00780B24" w:rsidP="00780B24">
            <w:r w:rsidRPr="0010229D">
              <w:t>Low</w:t>
            </w:r>
          </w:p>
        </w:tc>
        <w:tc>
          <w:tcPr>
            <w:tcW w:w="358"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780B24" w:rsidRPr="0010229D" w:rsidRDefault="00780B24" w:rsidP="00780B24">
            <w:r w:rsidRPr="0010229D">
              <w:t>Medium</w:t>
            </w:r>
          </w:p>
        </w:tc>
        <w:tc>
          <w:tcPr>
            <w:tcW w:w="360"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780B24" w:rsidRPr="0010229D" w:rsidRDefault="00780B24" w:rsidP="00780B24">
            <w:r w:rsidRPr="0010229D">
              <w:t>High</w:t>
            </w:r>
          </w:p>
        </w:tc>
        <w:tc>
          <w:tcPr>
            <w:tcW w:w="38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780B24" w:rsidRPr="0010229D" w:rsidRDefault="00780B24" w:rsidP="00780B24">
            <w:r w:rsidRPr="0010229D">
              <w:t>Access to Information</w:t>
            </w:r>
          </w:p>
        </w:tc>
        <w:tc>
          <w:tcPr>
            <w:tcW w:w="384"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780B24" w:rsidRPr="0010229D" w:rsidRDefault="00780B24" w:rsidP="00780B24">
            <w:r w:rsidRPr="0010229D">
              <w:t>Civic Participation</w:t>
            </w:r>
          </w:p>
        </w:tc>
        <w:tc>
          <w:tcPr>
            <w:tcW w:w="38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780B24" w:rsidRPr="0010229D" w:rsidRDefault="00780B24" w:rsidP="00780B24">
            <w:r w:rsidRPr="0010229D">
              <w:t>Public Accountability</w:t>
            </w:r>
          </w:p>
        </w:tc>
        <w:tc>
          <w:tcPr>
            <w:tcW w:w="817"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780B24" w:rsidRPr="0010229D" w:rsidRDefault="00780B24" w:rsidP="00780B24">
            <w:r w:rsidRPr="0010229D">
              <w:t>Technology &amp; Innovation for Transparency &amp; Accountability</w:t>
            </w:r>
          </w:p>
        </w:tc>
        <w:tc>
          <w:tcPr>
            <w:tcW w:w="445"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780B24" w:rsidRPr="0010229D" w:rsidRDefault="00780B24" w:rsidP="00780B24">
            <w:r w:rsidRPr="0010229D">
              <w:t>None</w:t>
            </w:r>
          </w:p>
        </w:tc>
        <w:tc>
          <w:tcPr>
            <w:tcW w:w="356"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780B24" w:rsidRPr="0010229D" w:rsidRDefault="00780B24" w:rsidP="00780B24">
            <w:r w:rsidRPr="0010229D">
              <w:t>Minor</w:t>
            </w:r>
          </w:p>
        </w:tc>
        <w:tc>
          <w:tcPr>
            <w:tcW w:w="445"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780B24" w:rsidRPr="0010229D" w:rsidRDefault="00780B24" w:rsidP="00780B24">
            <w:r w:rsidRPr="0010229D">
              <w:t>Moderate</w:t>
            </w:r>
          </w:p>
        </w:tc>
        <w:tc>
          <w:tcPr>
            <w:tcW w:w="357"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780B24" w:rsidRPr="0010229D" w:rsidRDefault="00780B24" w:rsidP="00780B24">
            <w:r w:rsidRPr="0010229D">
              <w:t>Transformative</w:t>
            </w:r>
          </w:p>
        </w:tc>
        <w:tc>
          <w:tcPr>
            <w:tcW w:w="534"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780B24" w:rsidRPr="0010229D" w:rsidRDefault="00780B24" w:rsidP="00780B24">
            <w:r w:rsidRPr="0010229D">
              <w:t>Not Started</w:t>
            </w:r>
          </w:p>
        </w:tc>
        <w:tc>
          <w:tcPr>
            <w:tcW w:w="446"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780B24" w:rsidRPr="0010229D" w:rsidRDefault="00780B24" w:rsidP="00780B24">
            <w:r w:rsidRPr="0010229D">
              <w:t>Limited</w:t>
            </w:r>
          </w:p>
        </w:tc>
        <w:tc>
          <w:tcPr>
            <w:tcW w:w="623"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780B24" w:rsidRPr="0010229D" w:rsidRDefault="00780B24" w:rsidP="00780B24">
            <w:r w:rsidRPr="0010229D">
              <w:t>Substantial</w:t>
            </w:r>
          </w:p>
        </w:tc>
        <w:tc>
          <w:tcPr>
            <w:tcW w:w="457"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780B24" w:rsidRPr="0010229D" w:rsidRDefault="00780B24" w:rsidP="00780B24">
            <w:r w:rsidRPr="0010229D">
              <w:t>Completed</w:t>
            </w:r>
          </w:p>
        </w:tc>
        <w:tc>
          <w:tcPr>
            <w:tcW w:w="356"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780B24" w:rsidRPr="0010229D" w:rsidRDefault="00780B24" w:rsidP="00780B24">
            <w:r w:rsidRPr="0010229D">
              <w:t>Worsened</w:t>
            </w:r>
          </w:p>
        </w:tc>
        <w:tc>
          <w:tcPr>
            <w:tcW w:w="545"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780B24" w:rsidRPr="0010229D" w:rsidRDefault="00780B24" w:rsidP="00780B24">
            <w:r w:rsidRPr="0010229D">
              <w:t>Did Not Change</w:t>
            </w:r>
          </w:p>
        </w:tc>
        <w:tc>
          <w:tcPr>
            <w:tcW w:w="46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780B24" w:rsidRPr="0010229D" w:rsidRDefault="00780B24" w:rsidP="00780B24">
            <w:r w:rsidRPr="0010229D">
              <w:t>Marginal</w:t>
            </w:r>
          </w:p>
        </w:tc>
        <w:tc>
          <w:tcPr>
            <w:tcW w:w="338"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780B24" w:rsidRPr="0010229D" w:rsidRDefault="00780B24" w:rsidP="00780B24">
            <w:r w:rsidRPr="0010229D">
              <w:t xml:space="preserve">Major </w:t>
            </w:r>
          </w:p>
        </w:tc>
        <w:tc>
          <w:tcPr>
            <w:tcW w:w="339"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780B24" w:rsidRPr="0010229D" w:rsidRDefault="00780B24" w:rsidP="00780B24">
            <w:r w:rsidRPr="0010229D">
              <w:t>Outstanding</w:t>
            </w:r>
          </w:p>
        </w:tc>
      </w:tr>
      <w:tr w:rsidR="00780B24" w:rsidRPr="0010229D" w:rsidTr="00780B24">
        <w:trPr>
          <w:gridAfter w:val="1"/>
          <w:wAfter w:w="7" w:type="dxa"/>
          <w:trHeight w:val="853"/>
        </w:trPr>
        <w:tc>
          <w:tcPr>
            <w:tcW w:w="1578" w:type="dxa"/>
            <w:vMerge w:val="restart"/>
            <w:tcBorders>
              <w:top w:val="single" w:sz="18" w:space="0" w:color="FFFFFF"/>
              <w:left w:val="single" w:sz="4" w:space="0" w:color="FFFFFF"/>
            </w:tcBorders>
            <w:shd w:val="clear" w:color="auto" w:fill="000000"/>
            <w:vAlign w:val="center"/>
          </w:tcPr>
          <w:p w:rsidR="00780B24" w:rsidRPr="0010229D" w:rsidRDefault="00780B24" w:rsidP="00780B24">
            <w:pPr>
              <w:rPr>
                <w:color w:val="FFFFFF" w:themeColor="background1"/>
              </w:rPr>
            </w:pPr>
            <w:r>
              <w:rPr>
                <w:color w:val="FFFFFF" w:themeColor="background1"/>
              </w:rPr>
              <w:t xml:space="preserve">1. </w:t>
            </w:r>
            <w:r w:rsidRPr="003B60EE">
              <w:rPr>
                <w:color w:val="FFFFFF" w:themeColor="background1"/>
              </w:rPr>
              <w:t xml:space="preserve"> </w:t>
            </w:r>
            <w:r>
              <w:t xml:space="preserve"> </w:t>
            </w:r>
            <w:r w:rsidRPr="006E7C15">
              <w:rPr>
                <w:color w:val="FFFFFF" w:themeColor="background1"/>
              </w:rPr>
              <w:t xml:space="preserve">Adapting the Public </w:t>
            </w:r>
            <w:r w:rsidRPr="006E7C15">
              <w:rPr>
                <w:color w:val="FFFFFF" w:themeColor="background1"/>
              </w:rPr>
              <w:lastRenderedPageBreak/>
              <w:t xml:space="preserve">Service Hall to the needs of people with disabilities </w:t>
            </w:r>
          </w:p>
        </w:tc>
        <w:tc>
          <w:tcPr>
            <w:tcW w:w="439" w:type="dxa"/>
            <w:vMerge w:val="restart"/>
            <w:tcBorders>
              <w:top w:val="single" w:sz="18" w:space="0" w:color="FFFFFF"/>
              <w:right w:val="single" w:sz="2" w:space="0" w:color="FFFFFF"/>
            </w:tcBorders>
            <w:shd w:val="clear" w:color="auto" w:fill="D6E3BC"/>
            <w:vAlign w:val="center"/>
          </w:tcPr>
          <w:p w:rsidR="00780B24" w:rsidRPr="0010229D" w:rsidRDefault="00780B24" w:rsidP="00780B24"/>
        </w:tc>
        <w:tc>
          <w:tcPr>
            <w:tcW w:w="445" w:type="dxa"/>
            <w:vMerge w:val="restart"/>
            <w:tcBorders>
              <w:top w:val="single" w:sz="18" w:space="0" w:color="FFFFFF"/>
              <w:left w:val="single" w:sz="2" w:space="0" w:color="FFFFFF"/>
              <w:right w:val="single" w:sz="2" w:space="0" w:color="FFFFFF"/>
            </w:tcBorders>
            <w:shd w:val="clear" w:color="auto" w:fill="D6E3BC"/>
            <w:vAlign w:val="center"/>
          </w:tcPr>
          <w:p w:rsidR="00780B24" w:rsidRPr="0010229D" w:rsidRDefault="00780B24" w:rsidP="00780B24"/>
        </w:tc>
        <w:tc>
          <w:tcPr>
            <w:tcW w:w="358" w:type="dxa"/>
            <w:vMerge w:val="restart"/>
            <w:tcBorders>
              <w:top w:val="single" w:sz="18" w:space="0" w:color="FFFFFF"/>
              <w:left w:val="single" w:sz="2" w:space="0" w:color="FFFFFF"/>
              <w:right w:val="single" w:sz="2" w:space="0" w:color="FFFFFF"/>
            </w:tcBorders>
            <w:shd w:val="clear" w:color="auto" w:fill="D6E3BC"/>
            <w:vAlign w:val="center"/>
          </w:tcPr>
          <w:p w:rsidR="00780B24" w:rsidRPr="0010229D" w:rsidRDefault="00780B24" w:rsidP="00780B24"/>
        </w:tc>
        <w:tc>
          <w:tcPr>
            <w:tcW w:w="360" w:type="dxa"/>
            <w:vMerge w:val="restart"/>
            <w:tcBorders>
              <w:top w:val="single" w:sz="18" w:space="0" w:color="FFFFFF"/>
              <w:left w:val="single" w:sz="2" w:space="0" w:color="FFFFFF"/>
              <w:right w:val="single" w:sz="18" w:space="0" w:color="FFFFFF"/>
            </w:tcBorders>
            <w:shd w:val="clear" w:color="auto" w:fill="D6E3BC"/>
            <w:vAlign w:val="center"/>
          </w:tcPr>
          <w:p w:rsidR="00780B24" w:rsidRPr="0010229D" w:rsidRDefault="00780B24" w:rsidP="00780B24">
            <w:r w:rsidRPr="0010229D">
              <w:rPr>
                <w:rFonts w:ascii="MS Mincho" w:eastAsia="MS Mincho" w:hAnsi="MS Mincho" w:cs="MS Mincho"/>
                <w:sz w:val="20"/>
              </w:rPr>
              <w:t>✔</w:t>
            </w:r>
          </w:p>
        </w:tc>
        <w:tc>
          <w:tcPr>
            <w:tcW w:w="1971" w:type="dxa"/>
            <w:gridSpan w:val="4"/>
            <w:vMerge w:val="restart"/>
            <w:tcBorders>
              <w:top w:val="single" w:sz="18" w:space="0" w:color="FFFFFF"/>
              <w:left w:val="single" w:sz="2" w:space="0" w:color="FFFFFF"/>
              <w:right w:val="single" w:sz="18" w:space="0" w:color="FFFFFF"/>
            </w:tcBorders>
            <w:shd w:val="clear" w:color="auto" w:fill="FBD4B4"/>
            <w:vAlign w:val="center"/>
          </w:tcPr>
          <w:p w:rsidR="00780B24" w:rsidRPr="0010229D" w:rsidRDefault="00780B24" w:rsidP="00780B24">
            <w:pPr>
              <w:jc w:val="center"/>
            </w:pPr>
            <w:r w:rsidRPr="006E7C15">
              <w:t>Unclear</w:t>
            </w:r>
          </w:p>
        </w:tc>
        <w:tc>
          <w:tcPr>
            <w:tcW w:w="445" w:type="dxa"/>
            <w:vMerge w:val="restart"/>
            <w:tcBorders>
              <w:top w:val="single" w:sz="18" w:space="0" w:color="FFFFFF"/>
              <w:left w:val="single" w:sz="18" w:space="0" w:color="FFFFFF"/>
              <w:right w:val="single" w:sz="2" w:space="0" w:color="FFFFFF"/>
            </w:tcBorders>
            <w:shd w:val="clear" w:color="auto" w:fill="CCC0D9"/>
            <w:vAlign w:val="center"/>
          </w:tcPr>
          <w:p w:rsidR="00780B24" w:rsidRPr="0010229D" w:rsidRDefault="00780B24" w:rsidP="00780B24"/>
        </w:tc>
        <w:tc>
          <w:tcPr>
            <w:tcW w:w="356" w:type="dxa"/>
            <w:vMerge w:val="restart"/>
            <w:tcBorders>
              <w:top w:val="single" w:sz="18" w:space="0" w:color="FFFFFF"/>
              <w:left w:val="single" w:sz="2" w:space="0" w:color="FFFFFF"/>
              <w:right w:val="single" w:sz="2" w:space="0" w:color="FFFFFF"/>
            </w:tcBorders>
            <w:shd w:val="clear" w:color="auto" w:fill="CCC0D9"/>
            <w:vAlign w:val="center"/>
          </w:tcPr>
          <w:p w:rsidR="00780B24" w:rsidRPr="0010229D" w:rsidRDefault="00780B24" w:rsidP="00780B24">
            <w:r w:rsidRPr="0010229D">
              <w:rPr>
                <w:rFonts w:ascii="MS Mincho" w:eastAsia="MS Mincho" w:hAnsi="MS Mincho" w:cs="MS Mincho"/>
                <w:sz w:val="20"/>
              </w:rPr>
              <w:t>✔</w:t>
            </w:r>
          </w:p>
        </w:tc>
        <w:tc>
          <w:tcPr>
            <w:tcW w:w="445" w:type="dxa"/>
            <w:vMerge w:val="restart"/>
            <w:tcBorders>
              <w:top w:val="single" w:sz="18" w:space="0" w:color="FFFFFF"/>
              <w:left w:val="single" w:sz="2" w:space="0" w:color="FFFFFF"/>
              <w:right w:val="single" w:sz="2" w:space="0" w:color="FFFFFF"/>
            </w:tcBorders>
            <w:shd w:val="clear" w:color="auto" w:fill="CCC0D9"/>
            <w:vAlign w:val="center"/>
          </w:tcPr>
          <w:p w:rsidR="00780B24" w:rsidRPr="0010229D" w:rsidRDefault="00780B24" w:rsidP="00780B24"/>
        </w:tc>
        <w:tc>
          <w:tcPr>
            <w:tcW w:w="357" w:type="dxa"/>
            <w:vMerge w:val="restart"/>
            <w:tcBorders>
              <w:top w:val="single" w:sz="18" w:space="0" w:color="FFFFFF"/>
              <w:left w:val="single" w:sz="2" w:space="0" w:color="FFFFFF"/>
              <w:right w:val="single" w:sz="18" w:space="0" w:color="FFFFFF"/>
            </w:tcBorders>
            <w:shd w:val="clear" w:color="auto" w:fill="CCC0D9"/>
            <w:vAlign w:val="center"/>
          </w:tcPr>
          <w:p w:rsidR="00780B24" w:rsidRPr="0010229D" w:rsidRDefault="00780B24" w:rsidP="00780B24"/>
        </w:tc>
        <w:tc>
          <w:tcPr>
            <w:tcW w:w="534"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780B24" w:rsidRPr="0010229D" w:rsidRDefault="00780B24" w:rsidP="00780B24"/>
        </w:tc>
        <w:tc>
          <w:tcPr>
            <w:tcW w:w="446"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780B24" w:rsidRPr="0010229D" w:rsidRDefault="00780B24" w:rsidP="00780B24"/>
        </w:tc>
        <w:tc>
          <w:tcPr>
            <w:tcW w:w="623"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780B24" w:rsidRPr="0010229D" w:rsidRDefault="00780B24" w:rsidP="00780B24"/>
        </w:tc>
        <w:tc>
          <w:tcPr>
            <w:tcW w:w="457" w:type="dxa"/>
            <w:tcBorders>
              <w:top w:val="single" w:sz="18" w:space="0" w:color="FFFFFF"/>
              <w:left w:val="single" w:sz="4" w:space="0" w:color="FFFFFF" w:themeColor="background1"/>
              <w:bottom w:val="single" w:sz="18" w:space="0" w:color="FFFFFF"/>
              <w:right w:val="single" w:sz="18" w:space="0" w:color="FFFFFF"/>
            </w:tcBorders>
            <w:shd w:val="clear" w:color="auto" w:fill="B8CCE4"/>
            <w:vAlign w:val="center"/>
          </w:tcPr>
          <w:p w:rsidR="00780B24" w:rsidRPr="0010229D" w:rsidRDefault="00780B24" w:rsidP="00780B24">
            <w:r w:rsidRPr="0010229D">
              <w:rPr>
                <w:rFonts w:ascii="MS Mincho" w:eastAsia="MS Mincho" w:hAnsi="MS Mincho" w:cs="MS Mincho"/>
                <w:sz w:val="20"/>
              </w:rPr>
              <w:t>✔</w:t>
            </w:r>
          </w:p>
        </w:tc>
        <w:tc>
          <w:tcPr>
            <w:tcW w:w="356" w:type="dxa"/>
            <w:vMerge w:val="restart"/>
            <w:tcBorders>
              <w:top w:val="single" w:sz="18" w:space="0" w:color="FFFFFF"/>
              <w:left w:val="single" w:sz="18" w:space="0" w:color="FFFFFF"/>
              <w:right w:val="single" w:sz="2" w:space="0" w:color="FFFFFF"/>
            </w:tcBorders>
            <w:shd w:val="clear" w:color="auto" w:fill="D99594"/>
            <w:vAlign w:val="center"/>
          </w:tcPr>
          <w:p w:rsidR="00780B24" w:rsidRPr="0010229D" w:rsidRDefault="00780B24" w:rsidP="00780B24"/>
        </w:tc>
        <w:tc>
          <w:tcPr>
            <w:tcW w:w="545" w:type="dxa"/>
            <w:vMerge w:val="restart"/>
            <w:tcBorders>
              <w:top w:val="single" w:sz="18" w:space="0" w:color="FFFFFF"/>
              <w:left w:val="single" w:sz="2" w:space="0" w:color="FFFFFF"/>
              <w:right w:val="single" w:sz="2" w:space="0" w:color="FFFFFF"/>
            </w:tcBorders>
            <w:shd w:val="clear" w:color="auto" w:fill="D99594"/>
            <w:vAlign w:val="center"/>
          </w:tcPr>
          <w:p w:rsidR="00780B24" w:rsidRPr="0010229D" w:rsidRDefault="00780B24" w:rsidP="00780B24">
            <w:r w:rsidRPr="0010229D">
              <w:rPr>
                <w:rFonts w:ascii="MS Mincho" w:eastAsia="MS Mincho" w:hAnsi="MS Mincho" w:cs="MS Mincho"/>
                <w:sz w:val="20"/>
              </w:rPr>
              <w:t>✔</w:t>
            </w:r>
          </w:p>
        </w:tc>
        <w:tc>
          <w:tcPr>
            <w:tcW w:w="460" w:type="dxa"/>
            <w:vMerge w:val="restart"/>
            <w:tcBorders>
              <w:top w:val="single" w:sz="18" w:space="0" w:color="FFFFFF"/>
              <w:left w:val="single" w:sz="2" w:space="0" w:color="FFFFFF"/>
              <w:right w:val="single" w:sz="2" w:space="0" w:color="FFFFFF"/>
            </w:tcBorders>
            <w:shd w:val="clear" w:color="auto" w:fill="D99594"/>
            <w:vAlign w:val="center"/>
          </w:tcPr>
          <w:p w:rsidR="00780B24" w:rsidRPr="0010229D" w:rsidRDefault="00780B24" w:rsidP="00780B24"/>
        </w:tc>
        <w:tc>
          <w:tcPr>
            <w:tcW w:w="338" w:type="dxa"/>
            <w:vMerge w:val="restart"/>
            <w:tcBorders>
              <w:top w:val="single" w:sz="18" w:space="0" w:color="FFFFFF"/>
              <w:left w:val="single" w:sz="2" w:space="0" w:color="FFFFFF"/>
              <w:right w:val="single" w:sz="2" w:space="0" w:color="FFFFFF"/>
            </w:tcBorders>
            <w:shd w:val="clear" w:color="auto" w:fill="D99594"/>
            <w:vAlign w:val="center"/>
          </w:tcPr>
          <w:p w:rsidR="00780B24" w:rsidRPr="0010229D" w:rsidRDefault="00780B24" w:rsidP="00780B24"/>
        </w:tc>
        <w:tc>
          <w:tcPr>
            <w:tcW w:w="339" w:type="dxa"/>
            <w:vMerge w:val="restart"/>
            <w:tcBorders>
              <w:top w:val="single" w:sz="18" w:space="0" w:color="FFFFFF"/>
              <w:left w:val="single" w:sz="2" w:space="0" w:color="FFFFFF"/>
              <w:right w:val="single" w:sz="18" w:space="0" w:color="FFFFFF"/>
            </w:tcBorders>
            <w:shd w:val="clear" w:color="auto" w:fill="D99594"/>
          </w:tcPr>
          <w:p w:rsidR="00780B24" w:rsidRPr="0010229D" w:rsidRDefault="00780B24" w:rsidP="00780B24"/>
        </w:tc>
      </w:tr>
      <w:tr w:rsidR="00780B24" w:rsidRPr="0010229D" w:rsidTr="00780B24">
        <w:trPr>
          <w:gridAfter w:val="1"/>
          <w:wAfter w:w="7" w:type="dxa"/>
          <w:trHeight w:val="853"/>
        </w:trPr>
        <w:tc>
          <w:tcPr>
            <w:tcW w:w="1578" w:type="dxa"/>
            <w:vMerge/>
            <w:tcBorders>
              <w:left w:val="single" w:sz="4" w:space="0" w:color="FFFFFF"/>
            </w:tcBorders>
            <w:shd w:val="clear" w:color="auto" w:fill="000000"/>
            <w:vAlign w:val="center"/>
          </w:tcPr>
          <w:p w:rsidR="00780B24" w:rsidRDefault="00780B24" w:rsidP="00780B24">
            <w:pPr>
              <w:rPr>
                <w:color w:val="FFFFFF" w:themeColor="background1"/>
              </w:rPr>
            </w:pPr>
          </w:p>
        </w:tc>
        <w:tc>
          <w:tcPr>
            <w:tcW w:w="439" w:type="dxa"/>
            <w:vMerge/>
            <w:tcBorders>
              <w:right w:val="single" w:sz="2" w:space="0" w:color="FFFFFF"/>
            </w:tcBorders>
            <w:shd w:val="clear" w:color="auto" w:fill="D6E3BC"/>
            <w:vAlign w:val="center"/>
          </w:tcPr>
          <w:p w:rsidR="00780B24" w:rsidRPr="0010229D" w:rsidRDefault="00780B24" w:rsidP="00780B24"/>
        </w:tc>
        <w:tc>
          <w:tcPr>
            <w:tcW w:w="445" w:type="dxa"/>
            <w:vMerge/>
            <w:tcBorders>
              <w:left w:val="single" w:sz="2" w:space="0" w:color="FFFFFF"/>
              <w:right w:val="single" w:sz="2" w:space="0" w:color="FFFFFF"/>
            </w:tcBorders>
            <w:shd w:val="clear" w:color="auto" w:fill="D6E3BC"/>
            <w:vAlign w:val="center"/>
          </w:tcPr>
          <w:p w:rsidR="00780B24" w:rsidRPr="0010229D" w:rsidRDefault="00780B24" w:rsidP="00780B24"/>
        </w:tc>
        <w:tc>
          <w:tcPr>
            <w:tcW w:w="358" w:type="dxa"/>
            <w:vMerge/>
            <w:tcBorders>
              <w:left w:val="single" w:sz="2" w:space="0" w:color="FFFFFF"/>
              <w:right w:val="single" w:sz="2" w:space="0" w:color="FFFFFF"/>
            </w:tcBorders>
            <w:shd w:val="clear" w:color="auto" w:fill="D6E3BC"/>
            <w:vAlign w:val="center"/>
          </w:tcPr>
          <w:p w:rsidR="00780B24" w:rsidRPr="0010229D" w:rsidRDefault="00780B24" w:rsidP="00780B24"/>
        </w:tc>
        <w:tc>
          <w:tcPr>
            <w:tcW w:w="360" w:type="dxa"/>
            <w:vMerge/>
            <w:tcBorders>
              <w:left w:val="single" w:sz="2" w:space="0" w:color="FFFFFF"/>
              <w:right w:val="single" w:sz="18" w:space="0" w:color="FFFFFF"/>
            </w:tcBorders>
            <w:shd w:val="clear" w:color="auto" w:fill="D6E3BC"/>
            <w:vAlign w:val="center"/>
          </w:tcPr>
          <w:p w:rsidR="00780B24" w:rsidRPr="0010229D" w:rsidRDefault="00780B24" w:rsidP="00780B24">
            <w:pPr>
              <w:rPr>
                <w:rFonts w:ascii="MS Mincho" w:eastAsia="MS Mincho" w:hAnsi="MS Mincho" w:cs="MS Mincho"/>
                <w:sz w:val="20"/>
              </w:rPr>
            </w:pPr>
          </w:p>
        </w:tc>
        <w:tc>
          <w:tcPr>
            <w:tcW w:w="1971" w:type="dxa"/>
            <w:gridSpan w:val="4"/>
            <w:vMerge/>
            <w:tcBorders>
              <w:left w:val="single" w:sz="2" w:space="0" w:color="FFFFFF"/>
              <w:right w:val="single" w:sz="18" w:space="0" w:color="FFFFFF"/>
            </w:tcBorders>
            <w:shd w:val="clear" w:color="auto" w:fill="FBD4B4"/>
            <w:vAlign w:val="center"/>
          </w:tcPr>
          <w:p w:rsidR="00780B24" w:rsidRPr="006E7C15" w:rsidRDefault="00780B24" w:rsidP="00780B24">
            <w:pPr>
              <w:jc w:val="center"/>
            </w:pPr>
          </w:p>
        </w:tc>
        <w:tc>
          <w:tcPr>
            <w:tcW w:w="445" w:type="dxa"/>
            <w:vMerge/>
            <w:tcBorders>
              <w:left w:val="single" w:sz="18" w:space="0" w:color="FFFFFF"/>
              <w:right w:val="single" w:sz="2" w:space="0" w:color="FFFFFF"/>
            </w:tcBorders>
            <w:shd w:val="clear" w:color="auto" w:fill="CCC0D9"/>
            <w:vAlign w:val="center"/>
          </w:tcPr>
          <w:p w:rsidR="00780B24" w:rsidRPr="0010229D" w:rsidRDefault="00780B24" w:rsidP="00780B24"/>
        </w:tc>
        <w:tc>
          <w:tcPr>
            <w:tcW w:w="356" w:type="dxa"/>
            <w:vMerge/>
            <w:tcBorders>
              <w:left w:val="single" w:sz="2" w:space="0" w:color="FFFFFF"/>
              <w:right w:val="single" w:sz="2" w:space="0" w:color="FFFFFF"/>
            </w:tcBorders>
            <w:shd w:val="clear" w:color="auto" w:fill="CCC0D9"/>
            <w:vAlign w:val="center"/>
          </w:tcPr>
          <w:p w:rsidR="00780B24" w:rsidRPr="0010229D" w:rsidRDefault="00780B24" w:rsidP="00780B24">
            <w:pPr>
              <w:rPr>
                <w:rFonts w:ascii="MS Mincho" w:eastAsia="MS Mincho" w:hAnsi="MS Mincho" w:cs="MS Mincho"/>
                <w:sz w:val="20"/>
              </w:rPr>
            </w:pPr>
          </w:p>
        </w:tc>
        <w:tc>
          <w:tcPr>
            <w:tcW w:w="445" w:type="dxa"/>
            <w:vMerge/>
            <w:tcBorders>
              <w:left w:val="single" w:sz="2" w:space="0" w:color="FFFFFF"/>
              <w:right w:val="single" w:sz="2" w:space="0" w:color="FFFFFF"/>
            </w:tcBorders>
            <w:shd w:val="clear" w:color="auto" w:fill="CCC0D9"/>
            <w:vAlign w:val="center"/>
          </w:tcPr>
          <w:p w:rsidR="00780B24" w:rsidRPr="0010229D" w:rsidRDefault="00780B24" w:rsidP="00780B24"/>
        </w:tc>
        <w:tc>
          <w:tcPr>
            <w:tcW w:w="357" w:type="dxa"/>
            <w:vMerge/>
            <w:tcBorders>
              <w:left w:val="single" w:sz="2" w:space="0" w:color="FFFFFF"/>
              <w:right w:val="single" w:sz="18" w:space="0" w:color="FFFFFF"/>
            </w:tcBorders>
            <w:shd w:val="clear" w:color="auto" w:fill="CCC0D9"/>
            <w:vAlign w:val="center"/>
          </w:tcPr>
          <w:p w:rsidR="00780B24" w:rsidRPr="0010229D" w:rsidRDefault="00780B24" w:rsidP="00780B24"/>
        </w:tc>
        <w:tc>
          <w:tcPr>
            <w:tcW w:w="534" w:type="dxa"/>
            <w:vMerge/>
            <w:tcBorders>
              <w:left w:val="single" w:sz="18" w:space="0" w:color="FFFFFF"/>
              <w:right w:val="single" w:sz="4" w:space="0" w:color="FFFFFF" w:themeColor="background1"/>
            </w:tcBorders>
            <w:shd w:val="clear" w:color="auto" w:fill="B8CCE4"/>
            <w:vAlign w:val="center"/>
          </w:tcPr>
          <w:p w:rsidR="00780B24" w:rsidRPr="0010229D" w:rsidRDefault="00780B24" w:rsidP="00780B24"/>
        </w:tc>
        <w:tc>
          <w:tcPr>
            <w:tcW w:w="446" w:type="dxa"/>
            <w:vMerge/>
            <w:tcBorders>
              <w:left w:val="single" w:sz="4" w:space="0" w:color="FFFFFF" w:themeColor="background1"/>
              <w:right w:val="single" w:sz="4" w:space="0" w:color="FFFFFF" w:themeColor="background1"/>
            </w:tcBorders>
            <w:shd w:val="clear" w:color="auto" w:fill="B8CCE4"/>
            <w:vAlign w:val="center"/>
          </w:tcPr>
          <w:p w:rsidR="00780B24" w:rsidRPr="0010229D" w:rsidRDefault="00780B24" w:rsidP="00780B24"/>
        </w:tc>
        <w:tc>
          <w:tcPr>
            <w:tcW w:w="623" w:type="dxa"/>
            <w:vMerge/>
            <w:tcBorders>
              <w:left w:val="single" w:sz="4" w:space="0" w:color="FFFFFF" w:themeColor="background1"/>
              <w:right w:val="single" w:sz="4" w:space="0" w:color="FFFFFF" w:themeColor="background1"/>
            </w:tcBorders>
            <w:shd w:val="clear" w:color="auto" w:fill="B8CCE4"/>
            <w:vAlign w:val="center"/>
          </w:tcPr>
          <w:p w:rsidR="00780B24" w:rsidRPr="0010229D" w:rsidRDefault="00780B24" w:rsidP="00780B24"/>
        </w:tc>
        <w:tc>
          <w:tcPr>
            <w:tcW w:w="457" w:type="dxa"/>
            <w:tcBorders>
              <w:top w:val="single" w:sz="18" w:space="0" w:color="FFFFFF"/>
              <w:left w:val="single" w:sz="4" w:space="0" w:color="FFFFFF" w:themeColor="background1"/>
              <w:right w:val="single" w:sz="18" w:space="0" w:color="FFFFFF"/>
            </w:tcBorders>
            <w:shd w:val="clear" w:color="auto" w:fill="B8CCE4"/>
            <w:vAlign w:val="center"/>
          </w:tcPr>
          <w:p w:rsidR="00780B24" w:rsidRPr="0010229D" w:rsidRDefault="00780B24" w:rsidP="00780B24">
            <w:pPr>
              <w:rPr>
                <w:rFonts w:ascii="MS Mincho" w:eastAsia="MS Mincho" w:hAnsi="MS Mincho" w:cs="MS Mincho"/>
                <w:sz w:val="20"/>
              </w:rPr>
            </w:pPr>
            <w:r w:rsidRPr="0010229D">
              <w:rPr>
                <w:rFonts w:ascii="MS Mincho" w:eastAsia="MS Mincho" w:hAnsi="MS Mincho" w:cs="MS Mincho"/>
                <w:sz w:val="20"/>
              </w:rPr>
              <w:t>✔</w:t>
            </w:r>
          </w:p>
        </w:tc>
        <w:tc>
          <w:tcPr>
            <w:tcW w:w="356" w:type="dxa"/>
            <w:vMerge/>
            <w:tcBorders>
              <w:left w:val="single" w:sz="18" w:space="0" w:color="FFFFFF"/>
              <w:right w:val="single" w:sz="2" w:space="0" w:color="FFFFFF"/>
            </w:tcBorders>
            <w:shd w:val="clear" w:color="auto" w:fill="D99594"/>
            <w:vAlign w:val="center"/>
          </w:tcPr>
          <w:p w:rsidR="00780B24" w:rsidRPr="0010229D" w:rsidRDefault="00780B24" w:rsidP="00780B24"/>
        </w:tc>
        <w:tc>
          <w:tcPr>
            <w:tcW w:w="545" w:type="dxa"/>
            <w:vMerge/>
            <w:tcBorders>
              <w:left w:val="single" w:sz="2" w:space="0" w:color="FFFFFF"/>
              <w:right w:val="single" w:sz="2" w:space="0" w:color="FFFFFF"/>
            </w:tcBorders>
            <w:shd w:val="clear" w:color="auto" w:fill="D99594"/>
            <w:vAlign w:val="center"/>
          </w:tcPr>
          <w:p w:rsidR="00780B24" w:rsidRPr="0010229D" w:rsidRDefault="00780B24" w:rsidP="00780B24">
            <w:pPr>
              <w:rPr>
                <w:rFonts w:ascii="MS Mincho" w:eastAsia="MS Mincho" w:hAnsi="MS Mincho" w:cs="MS Mincho"/>
                <w:sz w:val="20"/>
              </w:rPr>
            </w:pPr>
          </w:p>
        </w:tc>
        <w:tc>
          <w:tcPr>
            <w:tcW w:w="460" w:type="dxa"/>
            <w:vMerge/>
            <w:tcBorders>
              <w:left w:val="single" w:sz="2" w:space="0" w:color="FFFFFF"/>
              <w:right w:val="single" w:sz="2" w:space="0" w:color="FFFFFF"/>
            </w:tcBorders>
            <w:shd w:val="clear" w:color="auto" w:fill="D99594"/>
            <w:vAlign w:val="center"/>
          </w:tcPr>
          <w:p w:rsidR="00780B24" w:rsidRPr="0010229D" w:rsidRDefault="00780B24" w:rsidP="00780B24"/>
        </w:tc>
        <w:tc>
          <w:tcPr>
            <w:tcW w:w="338" w:type="dxa"/>
            <w:vMerge/>
            <w:tcBorders>
              <w:left w:val="single" w:sz="2" w:space="0" w:color="FFFFFF"/>
              <w:right w:val="single" w:sz="2" w:space="0" w:color="FFFFFF"/>
            </w:tcBorders>
            <w:shd w:val="clear" w:color="auto" w:fill="D99594"/>
            <w:vAlign w:val="center"/>
          </w:tcPr>
          <w:p w:rsidR="00780B24" w:rsidRPr="0010229D" w:rsidRDefault="00780B24" w:rsidP="00780B24"/>
        </w:tc>
        <w:tc>
          <w:tcPr>
            <w:tcW w:w="339" w:type="dxa"/>
            <w:vMerge/>
            <w:tcBorders>
              <w:left w:val="single" w:sz="2" w:space="0" w:color="FFFFFF"/>
              <w:right w:val="single" w:sz="18" w:space="0" w:color="FFFFFF"/>
            </w:tcBorders>
            <w:shd w:val="clear" w:color="auto" w:fill="D99594"/>
          </w:tcPr>
          <w:p w:rsidR="00780B24" w:rsidRPr="0010229D" w:rsidRDefault="00780B24" w:rsidP="00780B24"/>
        </w:tc>
      </w:tr>
    </w:tbl>
    <w:p w:rsidR="00617421" w:rsidRDefault="00780B24" w:rsidP="00C60967">
      <w:pPr>
        <w:pStyle w:val="Normalrglronly"/>
        <w:tabs>
          <w:tab w:val="left" w:pos="5140"/>
        </w:tabs>
      </w:pPr>
      <w:r w:rsidRPr="004B1C12">
        <w:lastRenderedPageBreak/>
        <w:t xml:space="preserve"> </w:t>
      </w:r>
      <w:r w:rsidR="00617421" w:rsidRPr="004B1C12">
        <w:t xml:space="preserve">Start Date: </w:t>
      </w:r>
      <w:r w:rsidR="00617421">
        <w:t>July 2016</w:t>
      </w:r>
      <w:r w:rsidR="00617421" w:rsidRPr="004B1C12">
        <w:t xml:space="preserve">      </w:t>
      </w:r>
      <w:r w:rsidR="00617421">
        <w:t xml:space="preserve">                                   </w:t>
      </w:r>
      <w:r w:rsidR="00617421" w:rsidRPr="004B1C12">
        <w:t xml:space="preserve">    End Date: </w:t>
      </w:r>
      <w:r w:rsidR="00617421">
        <w:t>December 2017</w:t>
      </w:r>
    </w:p>
    <w:p w:rsidR="00617421" w:rsidRDefault="00617421" w:rsidP="00C60967">
      <w:pPr>
        <w:pStyle w:val="Normalrglronly"/>
        <w:tabs>
          <w:tab w:val="left" w:pos="5140"/>
        </w:tabs>
      </w:pPr>
    </w:p>
    <w:p w:rsidR="00617421" w:rsidRPr="00534A0B" w:rsidRDefault="00617421" w:rsidP="00FE5928">
      <w:pPr>
        <w:pStyle w:val="Heading3"/>
      </w:pPr>
      <w:bookmarkStart w:id="8" w:name="_Toc525759419"/>
      <w:r w:rsidRPr="0010229D">
        <w:t xml:space="preserve">Commitment </w:t>
      </w:r>
      <w:r w:rsidRPr="004B1C12">
        <w:t>A</w:t>
      </w:r>
      <w:r w:rsidRPr="0010229D">
        <w:t>im:</w:t>
      </w:r>
      <w:bookmarkEnd w:id="8"/>
    </w:p>
    <w:p w:rsidR="00617421" w:rsidRPr="009C1EC0" w:rsidRDefault="00617421" w:rsidP="00C60967">
      <w:pPr>
        <w:rPr>
          <w:color w:val="auto"/>
        </w:rPr>
      </w:pPr>
      <w:r w:rsidRPr="00AA4216">
        <w:rPr>
          <w:color w:val="auto"/>
        </w:rPr>
        <w:t xml:space="preserve">The commitment aimed </w:t>
      </w:r>
      <w:r w:rsidR="003368A4">
        <w:rPr>
          <w:color w:val="auto"/>
        </w:rPr>
        <w:t>to</w:t>
      </w:r>
      <w:r w:rsidRPr="00AA4216">
        <w:rPr>
          <w:color w:val="auto"/>
        </w:rPr>
        <w:t xml:space="preserve"> improv</w:t>
      </w:r>
      <w:r w:rsidR="003368A4">
        <w:rPr>
          <w:color w:val="auto"/>
        </w:rPr>
        <w:t>e</w:t>
      </w:r>
      <w:r w:rsidRPr="00AA4216">
        <w:rPr>
          <w:color w:val="auto"/>
        </w:rPr>
        <w:t xml:space="preserve"> access to Tbilisi Public Service Hall (PSH) for blind and visually impaired citizens by adapting the infrastructure with special navigation system, including tactile paths and braille maps both outside and inside of the Tbilisi PSH. </w:t>
      </w:r>
      <w:r>
        <w:rPr>
          <w:color w:val="auto"/>
        </w:rPr>
        <w:t xml:space="preserve">The commitment was drafted as a result of requests from the end-users. </w:t>
      </w:r>
      <w:r w:rsidRPr="00AA4216">
        <w:rPr>
          <w:color w:val="auto"/>
        </w:rPr>
        <w:t xml:space="preserve"> </w:t>
      </w:r>
    </w:p>
    <w:p w:rsidR="00617421" w:rsidRPr="0010229D" w:rsidRDefault="00617421" w:rsidP="00FE5928">
      <w:pPr>
        <w:pStyle w:val="Heading3"/>
      </w:pPr>
      <w:bookmarkStart w:id="9" w:name="_Toc525759420"/>
      <w:r w:rsidRPr="0010229D">
        <w:t>Status</w:t>
      </w:r>
      <w:bookmarkEnd w:id="9"/>
    </w:p>
    <w:p w:rsidR="00617421" w:rsidRPr="00EC266B" w:rsidRDefault="00617421" w:rsidP="00C60967">
      <w:pPr>
        <w:pStyle w:val="Normalrglronly"/>
        <w:rPr>
          <w:b/>
          <w:color w:val="auto"/>
        </w:rPr>
      </w:pPr>
      <w:r w:rsidRPr="00EC266B">
        <w:rPr>
          <w:b/>
          <w:color w:val="auto"/>
        </w:rPr>
        <w:t>Midterm: Complete</w:t>
      </w:r>
    </w:p>
    <w:p w:rsidR="00617421" w:rsidRPr="00086385" w:rsidRDefault="00617421" w:rsidP="00C60967">
      <w:pPr>
        <w:pStyle w:val="Normalrglronly"/>
        <w:rPr>
          <w:rFonts w:ascii="Sylfaen" w:hAnsi="Sylfaen"/>
          <w:color w:val="auto"/>
        </w:rPr>
      </w:pPr>
      <w:r w:rsidRPr="009E36D9">
        <w:rPr>
          <w:color w:val="auto"/>
          <w:szCs w:val="20"/>
        </w:rPr>
        <w:t xml:space="preserve">The commitment was fully implemented by the midterm. The Tbilisi PSH started adapting its infrastructure to the needs of blind and visually impaired in fall of 2016 and completed </w:t>
      </w:r>
      <w:r>
        <w:rPr>
          <w:color w:val="auto"/>
          <w:szCs w:val="20"/>
        </w:rPr>
        <w:t>the project</w:t>
      </w:r>
      <w:r w:rsidRPr="009E36D9">
        <w:rPr>
          <w:color w:val="auto"/>
          <w:szCs w:val="20"/>
        </w:rPr>
        <w:t xml:space="preserve"> in February 2017 by adapting navigation system, tactile paths, braille maps, as well as audio reading software on the website. The PSH also trained more than 400 PSH employees in Tbilisi, Kutaisi, Rustavi, and Batumi. According to the representative of Tbilisi PSH, the PSH planned to make similar adaptations to Kutaisi and Batumi, as well as to add Voice of Consumer module to their website for collecting citizen feedback from the target group. For more information, please see the 2016–2017 IRM midterm report.</w:t>
      </w:r>
      <w:r>
        <w:rPr>
          <w:rStyle w:val="EndnoteReference"/>
          <w:color w:val="auto"/>
        </w:rPr>
        <w:endnoteReference w:id="10"/>
      </w:r>
      <w:r w:rsidRPr="0010229D">
        <w:rPr>
          <w:i/>
          <w:color w:val="4F81BD" w:themeColor="accent1"/>
        </w:rPr>
        <w:t> </w:t>
      </w:r>
    </w:p>
    <w:p w:rsidR="00617421" w:rsidRPr="004B1C12" w:rsidRDefault="00617421" w:rsidP="00C60967">
      <w:pPr>
        <w:pStyle w:val="Normalrglronly"/>
        <w:rPr>
          <w:b/>
          <w:color w:val="000000" w:themeColor="text1"/>
        </w:rPr>
      </w:pPr>
      <w:r w:rsidRPr="004B1C12">
        <w:rPr>
          <w:b/>
        </w:rPr>
        <w:t xml:space="preserve">End of term: </w:t>
      </w:r>
      <w:r w:rsidRPr="004B1C12">
        <w:rPr>
          <w:b/>
          <w:color w:val="000000" w:themeColor="text1"/>
        </w:rPr>
        <w:t>Complete</w:t>
      </w:r>
    </w:p>
    <w:p w:rsidR="00617421" w:rsidRDefault="00617421" w:rsidP="00C60967">
      <w:pPr>
        <w:pStyle w:val="Normalrglronly"/>
        <w:rPr>
          <w:color w:val="auto"/>
          <w:szCs w:val="20"/>
        </w:rPr>
      </w:pPr>
      <w:bookmarkStart w:id="10" w:name="_Toc525759421"/>
      <w:r>
        <w:rPr>
          <w:color w:val="auto"/>
          <w:szCs w:val="20"/>
        </w:rPr>
        <w:t xml:space="preserve">Since the midterm report, PSH </w:t>
      </w:r>
      <w:r w:rsidR="00F331D2">
        <w:rPr>
          <w:color w:val="auto"/>
          <w:szCs w:val="20"/>
        </w:rPr>
        <w:t xml:space="preserve">continued work beyond the scope of this commitment. PSH </w:t>
      </w:r>
      <w:r>
        <w:rPr>
          <w:color w:val="auto"/>
          <w:szCs w:val="20"/>
        </w:rPr>
        <w:t xml:space="preserve">drafted projects on adaptation of service halls in Kutaisi and Batumi, including needs assessment and expense calculations. As of October 2018, PSH </w:t>
      </w:r>
      <w:r w:rsidR="003368A4">
        <w:rPr>
          <w:color w:val="auto"/>
          <w:szCs w:val="20"/>
        </w:rPr>
        <w:t>wa</w:t>
      </w:r>
      <w:r>
        <w:rPr>
          <w:color w:val="auto"/>
          <w:szCs w:val="20"/>
        </w:rPr>
        <w:t>s searching for donors to finance the project. However, according to the representative of the PSH, in case they are unable to find donors, they will mobilize funds to carry out the project on their own.</w:t>
      </w:r>
      <w:r>
        <w:rPr>
          <w:rStyle w:val="EndnoteReference"/>
          <w:color w:val="auto"/>
          <w:szCs w:val="20"/>
        </w:rPr>
        <w:endnoteReference w:id="11"/>
      </w:r>
      <w:r>
        <w:rPr>
          <w:color w:val="auto"/>
          <w:szCs w:val="20"/>
        </w:rPr>
        <w:t xml:space="preserve"> Online version of the Voice of Consumer is also under development. </w:t>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10"/>
    </w:p>
    <w:p w:rsidR="00617421" w:rsidRDefault="00617421" w:rsidP="00C60967">
      <w:pPr>
        <w:rPr>
          <w:b/>
          <w:color w:val="000000" w:themeColor="text1"/>
        </w:rPr>
      </w:pPr>
      <w:r w:rsidRPr="004B1C12">
        <w:rPr>
          <w:b/>
          <w:color w:val="000000" w:themeColor="text1"/>
        </w:rPr>
        <w:t>Did Not Change</w:t>
      </w:r>
    </w:p>
    <w:p w:rsidR="00617421" w:rsidRDefault="00617421" w:rsidP="00C60967">
      <w:pPr>
        <w:rPr>
          <w:b/>
          <w:color w:val="000000" w:themeColor="text1"/>
        </w:rPr>
      </w:pPr>
    </w:p>
    <w:p w:rsidR="00617421" w:rsidRPr="009E36D9" w:rsidRDefault="00617421" w:rsidP="00C60967">
      <w:pPr>
        <w:pStyle w:val="CommentText"/>
        <w:tabs>
          <w:tab w:val="clear" w:pos="2880"/>
        </w:tabs>
        <w:rPr>
          <w:color w:val="auto"/>
          <w:sz w:val="22"/>
          <w:szCs w:val="20"/>
        </w:rPr>
      </w:pPr>
      <w:r>
        <w:rPr>
          <w:color w:val="auto"/>
          <w:sz w:val="22"/>
          <w:szCs w:val="20"/>
        </w:rPr>
        <w:t xml:space="preserve">Previously, </w:t>
      </w:r>
      <w:r w:rsidRPr="009E36D9">
        <w:rPr>
          <w:color w:val="auto"/>
          <w:sz w:val="22"/>
          <w:szCs w:val="20"/>
        </w:rPr>
        <w:t xml:space="preserve">Tbilisi Public Service Hall was not adapted to people with special needs, which restricted their access to services provided at the PSH. The commitment, which was </w:t>
      </w:r>
      <w:r w:rsidR="003368A4">
        <w:rPr>
          <w:color w:val="auto"/>
          <w:sz w:val="22"/>
          <w:szCs w:val="20"/>
        </w:rPr>
        <w:t>made after</w:t>
      </w:r>
      <w:r w:rsidRPr="009E36D9">
        <w:rPr>
          <w:color w:val="auto"/>
          <w:sz w:val="22"/>
          <w:szCs w:val="20"/>
        </w:rPr>
        <w:t xml:space="preserve"> requests from the end-users, aimed at providing necessary adaptations to the building for blind and visually impaired. While the commitment is an important step towards improving access to services for citizens with special needs, </w:t>
      </w:r>
      <w:r w:rsidR="00B01199">
        <w:rPr>
          <w:color w:val="auto"/>
          <w:sz w:val="22"/>
          <w:szCs w:val="20"/>
        </w:rPr>
        <w:t xml:space="preserve">it did not improve </w:t>
      </w:r>
      <w:r w:rsidRPr="009E36D9">
        <w:rPr>
          <w:color w:val="auto"/>
          <w:sz w:val="22"/>
          <w:szCs w:val="20"/>
        </w:rPr>
        <w:t xml:space="preserve">access to information that was otherwise unavailable, </w:t>
      </w:r>
      <w:r w:rsidR="00265598">
        <w:rPr>
          <w:color w:val="auto"/>
          <w:sz w:val="22"/>
          <w:szCs w:val="20"/>
        </w:rPr>
        <w:t xml:space="preserve">neither did it create new mechanisms for </w:t>
      </w:r>
      <w:r w:rsidRPr="009E36D9">
        <w:rPr>
          <w:color w:val="auto"/>
          <w:sz w:val="22"/>
          <w:szCs w:val="20"/>
        </w:rPr>
        <w:t xml:space="preserve">increasing civic participation in decision making or for holding government accountable. </w:t>
      </w:r>
    </w:p>
    <w:p w:rsidR="00617421" w:rsidRPr="009E36D9" w:rsidRDefault="00846D2A" w:rsidP="00C60967">
      <w:pPr>
        <w:rPr>
          <w:color w:val="auto"/>
        </w:rPr>
      </w:pPr>
      <w:r>
        <w:rPr>
          <w:noProof/>
        </w:rPr>
        <w:pict w14:anchorId="36B44428">
          <v:shape id="Imagen 7" o:spid="_x0000_i1025" type="#_x0000_t75" alt="https://ssl.gstatic.com/ui/v1/icons/mail/images/cleardot.gif" style="width:11.65pt;height:5.4pt;visibility:visible;mso-wrap-style:square;mso-width-percent:0;mso-height-percent:0;mso-width-percent:0;mso-height-percent:0">
            <v:imagedata r:id="rId19" o:title="cleardot"/>
          </v:shape>
        </w:pict>
      </w:r>
    </w:p>
    <w:p w:rsidR="00617421" w:rsidRDefault="00617421" w:rsidP="00FE5928">
      <w:pPr>
        <w:pStyle w:val="Heading3"/>
        <w:rPr>
          <w:color w:val="00B050"/>
        </w:rPr>
      </w:pPr>
      <w:bookmarkStart w:id="11" w:name="_Toc525759422"/>
      <w:r w:rsidRPr="0010229D">
        <w:t xml:space="preserve">Carried </w:t>
      </w:r>
      <w:r w:rsidRPr="004B1C12">
        <w:t>F</w:t>
      </w:r>
      <w:r w:rsidRPr="0010229D">
        <w:t>orward?</w:t>
      </w:r>
      <w:bookmarkEnd w:id="11"/>
    </w:p>
    <w:p w:rsidR="00617421" w:rsidRDefault="001E0F70" w:rsidP="00C60967">
      <w:pPr>
        <w:pStyle w:val="CommentText"/>
        <w:tabs>
          <w:tab w:val="clear" w:pos="2880"/>
        </w:tabs>
        <w:rPr>
          <w:color w:val="auto"/>
          <w:sz w:val="22"/>
          <w:szCs w:val="20"/>
        </w:rPr>
      </w:pPr>
      <w:r>
        <w:rPr>
          <w:color w:val="auto"/>
          <w:sz w:val="22"/>
          <w:szCs w:val="20"/>
        </w:rPr>
        <w:t>T</w:t>
      </w:r>
      <w:r w:rsidR="00617421" w:rsidRPr="009E36D9">
        <w:rPr>
          <w:color w:val="auto"/>
          <w:sz w:val="22"/>
          <w:szCs w:val="20"/>
        </w:rPr>
        <w:t>he 2018-20</w:t>
      </w:r>
      <w:r w:rsidR="00F331D2">
        <w:rPr>
          <w:color w:val="auto"/>
          <w:sz w:val="22"/>
          <w:szCs w:val="20"/>
        </w:rPr>
        <w:t>19</w:t>
      </w:r>
      <w:r w:rsidR="00617421" w:rsidRPr="009E36D9">
        <w:rPr>
          <w:color w:val="auto"/>
          <w:sz w:val="22"/>
          <w:szCs w:val="20"/>
        </w:rPr>
        <w:t xml:space="preserve"> National Action Plan</w:t>
      </w:r>
      <w:r>
        <w:rPr>
          <w:color w:val="auto"/>
          <w:sz w:val="22"/>
          <w:szCs w:val="20"/>
        </w:rPr>
        <w:t xml:space="preserve"> includes a related commitment</w:t>
      </w:r>
      <w:r w:rsidR="00B01199">
        <w:rPr>
          <w:color w:val="auto"/>
          <w:sz w:val="22"/>
          <w:szCs w:val="20"/>
        </w:rPr>
        <w:t>.</w:t>
      </w:r>
      <w:r w:rsidR="00617421" w:rsidRPr="009E36D9">
        <w:rPr>
          <w:color w:val="auto"/>
          <w:sz w:val="22"/>
          <w:szCs w:val="20"/>
        </w:rPr>
        <w:t xml:space="preserve"> </w:t>
      </w:r>
      <w:r w:rsidR="00617421" w:rsidRPr="00590EF9">
        <w:rPr>
          <w:rStyle w:val="EndnoteReference"/>
          <w:color w:val="auto"/>
          <w:szCs w:val="22"/>
        </w:rPr>
        <w:endnoteReference w:id="12"/>
      </w:r>
      <w:r w:rsidR="00617421" w:rsidRPr="009E36D9">
        <w:rPr>
          <w:color w:val="auto"/>
          <w:sz w:val="22"/>
          <w:szCs w:val="20"/>
        </w:rPr>
        <w:t xml:space="preserve"> The new commitment</w:t>
      </w:r>
      <w:r w:rsidR="00B01199">
        <w:rPr>
          <w:color w:val="auto"/>
          <w:sz w:val="22"/>
          <w:szCs w:val="20"/>
        </w:rPr>
        <w:t>, Commitment</w:t>
      </w:r>
      <w:r w:rsidR="00004A70">
        <w:rPr>
          <w:color w:val="auto"/>
          <w:sz w:val="22"/>
          <w:szCs w:val="20"/>
        </w:rPr>
        <w:t xml:space="preserve"> </w:t>
      </w:r>
      <w:r w:rsidR="00B01199">
        <w:rPr>
          <w:color w:val="auto"/>
          <w:sz w:val="22"/>
          <w:szCs w:val="20"/>
        </w:rPr>
        <w:t>1,</w:t>
      </w:r>
      <w:r w:rsidR="00617421" w:rsidRPr="009E36D9">
        <w:rPr>
          <w:color w:val="auto"/>
          <w:sz w:val="22"/>
          <w:szCs w:val="20"/>
        </w:rPr>
        <w:t xml:space="preserve"> by PSH</w:t>
      </w:r>
      <w:r w:rsidR="00265598">
        <w:rPr>
          <w:color w:val="auto"/>
          <w:sz w:val="22"/>
          <w:szCs w:val="20"/>
        </w:rPr>
        <w:t xml:space="preserve"> envisions to develop</w:t>
      </w:r>
      <w:r w:rsidR="00617421" w:rsidRPr="009E36D9">
        <w:rPr>
          <w:color w:val="auto"/>
          <w:sz w:val="22"/>
          <w:szCs w:val="20"/>
        </w:rPr>
        <w:t xml:space="preserve"> standard guidelines for service delivery for people with special needs</w:t>
      </w:r>
      <w:r w:rsidR="00617421">
        <w:rPr>
          <w:color w:val="auto"/>
          <w:sz w:val="22"/>
          <w:szCs w:val="20"/>
        </w:rPr>
        <w:t xml:space="preserve"> (similar to </w:t>
      </w:r>
      <w:r w:rsidR="00647300">
        <w:rPr>
          <w:color w:val="auto"/>
          <w:sz w:val="22"/>
          <w:szCs w:val="20"/>
        </w:rPr>
        <w:t xml:space="preserve">a </w:t>
      </w:r>
      <w:r w:rsidR="00617421">
        <w:rPr>
          <w:color w:val="auto"/>
          <w:sz w:val="22"/>
          <w:szCs w:val="20"/>
        </w:rPr>
        <w:t>code of ethics)</w:t>
      </w:r>
      <w:r w:rsidR="00617421" w:rsidRPr="009E36D9">
        <w:rPr>
          <w:color w:val="auto"/>
          <w:sz w:val="22"/>
          <w:szCs w:val="20"/>
        </w:rPr>
        <w:t xml:space="preserve">, creating sign language handbook, and increasing </w:t>
      </w:r>
      <w:r w:rsidR="00617421" w:rsidRPr="009E36D9">
        <w:rPr>
          <w:color w:val="auto"/>
          <w:sz w:val="22"/>
          <w:szCs w:val="20"/>
        </w:rPr>
        <w:lastRenderedPageBreak/>
        <w:t>the competence of PSH employees to improve the quality of service delivery for this specific target group.  Additionally, the PSH submitted another commitment under the 2018-2019 NAP aimed at collecting feedback from beneficiaries, allowing them to vote for desired initiatives proposed by the PSH, and locating sensor monitors in the buildings to allow people w</w:t>
      </w:r>
      <w:r w:rsidR="00617421">
        <w:rPr>
          <w:color w:val="auto"/>
          <w:sz w:val="22"/>
          <w:szCs w:val="20"/>
        </w:rPr>
        <w:t xml:space="preserve">ith special needs  (including </w:t>
      </w:r>
      <w:r w:rsidR="00617421" w:rsidRPr="009E36D9">
        <w:rPr>
          <w:color w:val="auto"/>
          <w:sz w:val="22"/>
          <w:szCs w:val="20"/>
        </w:rPr>
        <w:t>visually impaired and blind) to use the monitors for providing their feedback</w:t>
      </w:r>
      <w:r w:rsidR="00617421">
        <w:rPr>
          <w:color w:val="auto"/>
          <w:sz w:val="22"/>
          <w:szCs w:val="20"/>
        </w:rPr>
        <w:t>.</w:t>
      </w:r>
      <w:bookmarkStart w:id="12" w:name="_Toc525759453"/>
    </w:p>
    <w:p w:rsidR="00617421" w:rsidRDefault="00617421" w:rsidP="00C60967">
      <w:pPr>
        <w:pStyle w:val="CommentText"/>
        <w:tabs>
          <w:tab w:val="clear" w:pos="2880"/>
        </w:tabs>
        <w:rPr>
          <w:color w:val="auto"/>
          <w:sz w:val="22"/>
          <w:szCs w:val="20"/>
        </w:rPr>
      </w:pPr>
    </w:p>
    <w:p w:rsidR="00617421" w:rsidRDefault="00617421" w:rsidP="00C60967">
      <w:pPr>
        <w:pStyle w:val="CommentText"/>
        <w:tabs>
          <w:tab w:val="clear" w:pos="2880"/>
        </w:tabs>
        <w:rPr>
          <w:color w:val="auto"/>
          <w:sz w:val="22"/>
          <w:szCs w:val="20"/>
        </w:rPr>
      </w:pPr>
    </w:p>
    <w:p w:rsidR="00617421" w:rsidRDefault="00617421">
      <w:pPr>
        <w:tabs>
          <w:tab w:val="clear" w:pos="2880"/>
        </w:tabs>
        <w:rPr>
          <w:rFonts w:eastAsiaTheme="majorEastAsia"/>
          <w:b/>
          <w:bCs/>
          <w:color w:val="1F497D" w:themeColor="text2"/>
          <w:sz w:val="26"/>
          <w:szCs w:val="26"/>
        </w:rPr>
      </w:pPr>
      <w:r>
        <w:br w:type="page"/>
      </w:r>
    </w:p>
    <w:p w:rsidR="00617421" w:rsidRDefault="00617421" w:rsidP="00C60967">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Default="00617421" w:rsidP="00C60967">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Pr="004B1C12" w:rsidRDefault="00617421" w:rsidP="00C60967">
      <w:pPr>
        <w:pStyle w:val="Heading2"/>
      </w:pPr>
      <w:bookmarkStart w:id="13" w:name="_Toc409220374"/>
      <w:r w:rsidRPr="00134EFA">
        <w:lastRenderedPageBreak/>
        <w:t>2</w:t>
      </w:r>
      <w:r w:rsidRPr="004B1C12">
        <w:t xml:space="preserve">. </w:t>
      </w:r>
      <w:bookmarkEnd w:id="12"/>
      <w:r w:rsidRPr="006E7C15">
        <w:t>Launch of the unified healthcare system information portal</w:t>
      </w:r>
      <w:bookmarkEnd w:id="13"/>
    </w:p>
    <w:p w:rsidR="00617421" w:rsidRDefault="00617421" w:rsidP="00C60967">
      <w:pPr>
        <w:pStyle w:val="Normalrglronly"/>
        <w:rPr>
          <w:b/>
        </w:rPr>
      </w:pPr>
    </w:p>
    <w:p w:rsidR="00617421" w:rsidRDefault="00617421" w:rsidP="00C60967">
      <w:pPr>
        <w:pStyle w:val="Normalrglronly"/>
        <w:rPr>
          <w:b/>
        </w:rPr>
      </w:pPr>
      <w:r w:rsidRPr="004B1C12">
        <w:rPr>
          <w:b/>
        </w:rPr>
        <w:t>Commitment Text:</w:t>
      </w:r>
    </w:p>
    <w:p w:rsidR="00617421" w:rsidRDefault="00617421" w:rsidP="00C60967">
      <w:pPr>
        <w:pStyle w:val="APQuotefeaturetol"/>
      </w:pPr>
      <w:r>
        <w:t>To raise public awareness, the Ministry of Labour, Health and Social Affairs of Georgia (hereinafter, the MoLHSA) plans to set up an information portal in the framework of the unified healthcare system (E-Health).</w:t>
      </w:r>
    </w:p>
    <w:p w:rsidR="00617421" w:rsidRDefault="00617421" w:rsidP="00C60967">
      <w:pPr>
        <w:pStyle w:val="APQuotefeaturetol"/>
      </w:pPr>
      <w:r>
        <w:t>This commitment aims to raise public awareness, improve transparency of health care system and increase accountability and effectiveness in the field.</w:t>
      </w:r>
    </w:p>
    <w:p w:rsidR="00617421" w:rsidRDefault="00617421" w:rsidP="00C60967">
      <w:pPr>
        <w:pStyle w:val="APQuotefeaturetol"/>
      </w:pPr>
      <w:r>
        <w:t>In close cooperation with local civil society and international organizations, the main concept of the information portal will be created. Through this portal, citizens will have an access to reliable and complete information about: the state healthcare programs, medical services, service providers (professional qualification, etc.), medical equipment, blood bank, number of beds, beneficiaries, medical staff and their working places. The portal will enable a citizen to check his/her insurance status and see which services are available for him/her in the frames of the health care programs. Current and updated information about healthcare reforms and its monitoring results will also be uploaded on the portal.</w:t>
      </w:r>
    </w:p>
    <w:p w:rsidR="00617421" w:rsidRDefault="00617421" w:rsidP="00C60967">
      <w:pPr>
        <w:pStyle w:val="APQuotefeaturetol"/>
      </w:pPr>
      <w:r>
        <w:t>Creation of the information portal will promote transparency and accountability of the processes undergoing in the healthcare field and increased response to the citizens’ needs.</w:t>
      </w:r>
    </w:p>
    <w:p w:rsidR="00617421" w:rsidRPr="003339CE" w:rsidRDefault="00617421" w:rsidP="00C60967">
      <w:pPr>
        <w:pStyle w:val="Normalrglronly"/>
      </w:pPr>
      <w:r w:rsidRPr="003339CE">
        <w:t xml:space="preserve">Responsible institution: </w:t>
      </w:r>
      <w:r w:rsidRPr="003339CE">
        <w:rPr>
          <w:noProof/>
        </w:rPr>
        <w:t xml:space="preserve">Ministry of Labour, Health and Social Affairs of Georgia </w:t>
      </w:r>
    </w:p>
    <w:p w:rsidR="00617421" w:rsidRPr="003339CE" w:rsidRDefault="00617421" w:rsidP="00C60967">
      <w:pPr>
        <w:pStyle w:val="Normalrglronly"/>
      </w:pPr>
      <w:r w:rsidRPr="003339CE">
        <w:t xml:space="preserve">Supporting institution(s): </w:t>
      </w:r>
      <w:r w:rsidRPr="003339CE">
        <w:rPr>
          <w:noProof/>
        </w:rPr>
        <w:t xml:space="preserve">LEPL </w:t>
      </w:r>
      <w:r w:rsidRPr="003339CE">
        <w:t>L. Sakvarelidze National Center for Disease Control &amp; Public Health, LEPL Social Service Agency, World Health Organization</w:t>
      </w:r>
    </w:p>
    <w:p w:rsidR="00617421" w:rsidRDefault="00617421" w:rsidP="00C60967">
      <w:pPr>
        <w:spacing w:after="120"/>
      </w:pPr>
      <w:r w:rsidRPr="003339CE">
        <w:t xml:space="preserve">Start date: November 2016   </w:t>
      </w:r>
      <w:r>
        <w:t xml:space="preserve">                 </w:t>
      </w:r>
      <w:r w:rsidRPr="003339CE">
        <w:t xml:space="preserve"> End date: December 2017</w:t>
      </w:r>
      <w:bookmarkStart w:id="14" w:name="_Toc525759454"/>
    </w:p>
    <w:p w:rsidR="00617421" w:rsidRDefault="00617421" w:rsidP="00C60967">
      <w:pPr>
        <w:spacing w:after="120"/>
        <w:rPr>
          <w:szCs w:val="22"/>
        </w:rPr>
      </w:pPr>
    </w:p>
    <w:tbl>
      <w:tblPr>
        <w:tblW w:w="10971"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6E7C15"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6E7C15" w:rsidRDefault="00617421" w:rsidP="00C60967">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6E7C15" w:rsidRDefault="00617421" w:rsidP="00C60967">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6E7C15" w:rsidRDefault="00617421" w:rsidP="00C60967">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6E7C15" w:rsidRDefault="00617421" w:rsidP="00C60967">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6E7C15" w:rsidRDefault="00617421" w:rsidP="00C60967">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6E7C15" w:rsidRDefault="00617421" w:rsidP="00C60967">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6E7C15" w:rsidRDefault="00617421" w:rsidP="00C60967">
            <w:r w:rsidRPr="006E7C15">
              <w:t>Did It Open Government?</w:t>
            </w:r>
          </w:p>
        </w:tc>
      </w:tr>
      <w:tr w:rsidR="00617421" w:rsidRPr="006E7C15" w:rsidTr="00780B24">
        <w:trPr>
          <w:trHeight w:val="373"/>
        </w:trPr>
        <w:tc>
          <w:tcPr>
            <w:tcW w:w="1596" w:type="dxa"/>
            <w:vMerge/>
            <w:tcBorders>
              <w:left w:val="single" w:sz="4" w:space="0" w:color="FFFFFF"/>
              <w:right w:val="single" w:sz="18" w:space="0" w:color="FFFFFF"/>
            </w:tcBorders>
            <w:shd w:val="clear" w:color="auto" w:fill="000000"/>
            <w:vAlign w:val="center"/>
          </w:tcPr>
          <w:p w:rsidR="00617421" w:rsidRPr="006E7C15"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6E7C15"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6E7C15"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6E7C15"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6E7C15"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6E7C15" w:rsidRDefault="00617421" w:rsidP="00C60967">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6E7C15" w:rsidRDefault="00617421" w:rsidP="00C60967"/>
        </w:tc>
      </w:tr>
      <w:tr w:rsidR="00617421" w:rsidRPr="006E7C15"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6E7C15"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6E7C15" w:rsidRDefault="00617421" w:rsidP="00C60967">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C60967">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C60967">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6E7C15" w:rsidRDefault="00617421" w:rsidP="00C60967">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C60967">
            <w:r w:rsidRPr="006E7C15">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C60967">
            <w:r w:rsidRPr="006E7C15">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C60967">
            <w:r w:rsidRPr="006E7C15">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6E7C15" w:rsidRDefault="00617421" w:rsidP="00C60967">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6E7C15" w:rsidRDefault="00617421" w:rsidP="00C60967">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C60967">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C60967">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6E7C15" w:rsidRDefault="00617421" w:rsidP="00C60967">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6E7C15" w:rsidRDefault="00617421" w:rsidP="00C60967">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C60967">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C60967">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6E7C15" w:rsidRDefault="00617421" w:rsidP="00C60967">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6E7C15" w:rsidRDefault="00617421" w:rsidP="00C60967">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C60967">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C60967">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C60967">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6E7C15" w:rsidRDefault="00617421" w:rsidP="00C60967">
            <w:r w:rsidRPr="006E7C15">
              <w:t>Outstanding</w:t>
            </w:r>
          </w:p>
        </w:tc>
      </w:tr>
      <w:tr w:rsidR="00617421" w:rsidRPr="006E7C15" w:rsidTr="00780B24">
        <w:trPr>
          <w:trHeight w:val="733"/>
        </w:trPr>
        <w:tc>
          <w:tcPr>
            <w:tcW w:w="1596" w:type="dxa"/>
            <w:vMerge w:val="restart"/>
            <w:tcBorders>
              <w:top w:val="single" w:sz="18" w:space="0" w:color="FFFFFF"/>
              <w:left w:val="single" w:sz="4" w:space="0" w:color="FFFFFF"/>
            </w:tcBorders>
            <w:shd w:val="clear" w:color="auto" w:fill="000000"/>
            <w:vAlign w:val="center"/>
          </w:tcPr>
          <w:p w:rsidR="00617421" w:rsidRPr="006E7C15" w:rsidRDefault="00617421" w:rsidP="00C60967">
            <w:pPr>
              <w:rPr>
                <w:color w:val="FFFFFF" w:themeColor="background1"/>
              </w:rPr>
            </w:pPr>
            <w:r>
              <w:rPr>
                <w:color w:val="FFFFFF" w:themeColor="background1"/>
              </w:rPr>
              <w:t>2</w:t>
            </w:r>
            <w:r w:rsidRPr="006E7C15">
              <w:rPr>
                <w:color w:val="FFFFFF" w:themeColor="background1"/>
              </w:rPr>
              <w:t xml:space="preserve">.  </w:t>
            </w:r>
            <w:r w:rsidRPr="006E7C15">
              <w:t xml:space="preserve"> </w:t>
            </w:r>
            <w:r>
              <w:t xml:space="preserve"> </w:t>
            </w:r>
            <w:r w:rsidRPr="00AA6C7A">
              <w:rPr>
                <w:color w:val="FFFFFF" w:themeColor="background1"/>
              </w:rPr>
              <w:t>Launch of the unified healthcare system information portal</w:t>
            </w:r>
          </w:p>
        </w:tc>
        <w:tc>
          <w:tcPr>
            <w:tcW w:w="445" w:type="dxa"/>
            <w:vMerge w:val="restart"/>
            <w:tcBorders>
              <w:top w:val="single" w:sz="18" w:space="0" w:color="FFFFFF"/>
              <w:right w:val="single" w:sz="2" w:space="0" w:color="FFFFFF"/>
            </w:tcBorders>
            <w:shd w:val="clear" w:color="auto" w:fill="D6E3BC"/>
            <w:vAlign w:val="center"/>
          </w:tcPr>
          <w:p w:rsidR="00617421" w:rsidRPr="006E7C15"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6E7C15" w:rsidRDefault="00617421" w:rsidP="00C60967">
            <w:r w:rsidRPr="006E7C15">
              <w:rPr>
                <w:rFonts w:ascii="MS Mincho" w:eastAsia="MS Mincho" w:hAnsi="MS Mincho" w:cs="MS Mincho"/>
                <w:sz w:val="20"/>
              </w:rPr>
              <w:t>✔</w:t>
            </w:r>
          </w:p>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C60967">
            <w:pPr>
              <w:jc w:val="center"/>
            </w:pPr>
            <w:commentRangeStart w:id="15"/>
            <w:r w:rsidRPr="006E7C15">
              <w:t>Unclear</w:t>
            </w:r>
            <w:commentRangeEnd w:id="15"/>
            <w:r w:rsidR="00993716">
              <w:rPr>
                <w:rStyle w:val="CommentReference"/>
              </w:rPr>
              <w:commentReference w:id="15"/>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6E7C15"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C60967">
            <w:r w:rsidRPr="006E7C15">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6E7C15" w:rsidRDefault="00617421" w:rsidP="00C60967"/>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617421" w:rsidRPr="006E7C15" w:rsidRDefault="00617421" w:rsidP="00C60967"/>
        </w:tc>
        <w:tc>
          <w:tcPr>
            <w:tcW w:w="45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rsidR="00617421" w:rsidRPr="006E7C15" w:rsidRDefault="00617421" w:rsidP="00C60967">
            <w:r w:rsidRPr="006E7C15">
              <w:rPr>
                <w:rFonts w:ascii="MS Mincho" w:eastAsia="MS Mincho" w:hAnsi="MS Mincho" w:cs="MS Mincho"/>
                <w:sz w:val="20"/>
              </w:rPr>
              <w:t>✔</w:t>
            </w:r>
          </w:p>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C60967"/>
        </w:tc>
        <w:tc>
          <w:tcPr>
            <w:tcW w:w="461" w:type="dxa"/>
            <w:vMerge w:val="restart"/>
            <w:tcBorders>
              <w:top w:val="single" w:sz="18" w:space="0" w:color="FFFFFF"/>
              <w:left w:val="single" w:sz="4" w:space="0" w:color="FFFFFF" w:themeColor="background1"/>
              <w:right w:val="single" w:sz="18" w:space="0" w:color="FFFFFF"/>
            </w:tcBorders>
            <w:shd w:val="clear" w:color="auto" w:fill="B8CCE4"/>
            <w:vAlign w:val="center"/>
          </w:tcPr>
          <w:p w:rsidR="00617421" w:rsidRPr="006E7C15"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6E7C15"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C60967"/>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FE5928" w:rsidP="00C60967">
            <w:r w:rsidRPr="006E7C15">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6E7C15" w:rsidRDefault="00617421" w:rsidP="00C60967"/>
        </w:tc>
      </w:tr>
      <w:tr w:rsidR="00617421" w:rsidRPr="006E7C15" w:rsidTr="00780B24">
        <w:trPr>
          <w:trHeight w:val="732"/>
        </w:trPr>
        <w:tc>
          <w:tcPr>
            <w:tcW w:w="1596" w:type="dxa"/>
            <w:vMerge/>
            <w:tcBorders>
              <w:left w:val="single" w:sz="4" w:space="0" w:color="FFFFFF"/>
            </w:tcBorders>
            <w:shd w:val="clear" w:color="auto" w:fill="000000"/>
            <w:vAlign w:val="center"/>
          </w:tcPr>
          <w:p w:rsidR="00617421" w:rsidRDefault="00617421" w:rsidP="00C60967">
            <w:pPr>
              <w:rPr>
                <w:color w:val="FFFFFF" w:themeColor="background1"/>
              </w:rPr>
            </w:pPr>
          </w:p>
        </w:tc>
        <w:tc>
          <w:tcPr>
            <w:tcW w:w="445" w:type="dxa"/>
            <w:vMerge/>
            <w:tcBorders>
              <w:right w:val="single" w:sz="2" w:space="0" w:color="FFFFFF"/>
            </w:tcBorders>
            <w:shd w:val="clear" w:color="auto" w:fill="D6E3BC"/>
            <w:vAlign w:val="center"/>
          </w:tcPr>
          <w:p w:rsidR="00617421" w:rsidRPr="006E7C15" w:rsidRDefault="00617421" w:rsidP="00C60967"/>
        </w:tc>
        <w:tc>
          <w:tcPr>
            <w:tcW w:w="451" w:type="dxa"/>
            <w:vMerge/>
            <w:tcBorders>
              <w:left w:val="single" w:sz="2" w:space="0" w:color="FFFFFF"/>
              <w:right w:val="single" w:sz="2" w:space="0" w:color="FFFFFF"/>
            </w:tcBorders>
            <w:shd w:val="clear" w:color="auto" w:fill="D6E3BC"/>
            <w:vAlign w:val="center"/>
          </w:tcPr>
          <w:p w:rsidR="00617421" w:rsidRPr="006E7C15" w:rsidRDefault="00617421" w:rsidP="00C60967"/>
        </w:tc>
        <w:tc>
          <w:tcPr>
            <w:tcW w:w="362" w:type="dxa"/>
            <w:vMerge/>
            <w:tcBorders>
              <w:left w:val="single" w:sz="2" w:space="0" w:color="FFFFFF"/>
              <w:right w:val="single" w:sz="2" w:space="0" w:color="FFFFFF"/>
            </w:tcBorders>
            <w:shd w:val="clear" w:color="auto" w:fill="D6E3BC"/>
            <w:vAlign w:val="center"/>
          </w:tcPr>
          <w:p w:rsidR="00617421" w:rsidRPr="006E7C15" w:rsidRDefault="00617421" w:rsidP="00C60967"/>
        </w:tc>
        <w:tc>
          <w:tcPr>
            <w:tcW w:w="363" w:type="dxa"/>
            <w:vMerge/>
            <w:tcBorders>
              <w:left w:val="single" w:sz="2" w:space="0" w:color="FFFFFF"/>
              <w:right w:val="single" w:sz="18" w:space="0" w:color="FFFFFF"/>
            </w:tcBorders>
            <w:shd w:val="clear" w:color="auto" w:fill="D6E3BC"/>
            <w:vAlign w:val="center"/>
          </w:tcPr>
          <w:p w:rsidR="00617421" w:rsidRPr="006E7C15" w:rsidRDefault="00617421" w:rsidP="00C60967">
            <w:pPr>
              <w:rPr>
                <w:rFonts w:ascii="MS Mincho" w:eastAsia="MS Mincho" w:hAnsi="MS Mincho" w:cs="MS Mincho"/>
                <w:sz w:val="20"/>
              </w:rPr>
            </w:pPr>
          </w:p>
        </w:tc>
        <w:tc>
          <w:tcPr>
            <w:tcW w:w="1992" w:type="dxa"/>
            <w:gridSpan w:val="4"/>
            <w:vMerge/>
            <w:tcBorders>
              <w:left w:val="single" w:sz="2" w:space="0" w:color="FFFFFF"/>
              <w:right w:val="single" w:sz="18" w:space="0" w:color="FFFFFF"/>
            </w:tcBorders>
            <w:shd w:val="clear" w:color="auto" w:fill="FBD4B4"/>
            <w:vAlign w:val="center"/>
          </w:tcPr>
          <w:p w:rsidR="00617421" w:rsidRPr="006E7C15" w:rsidRDefault="00617421" w:rsidP="00C60967">
            <w:pPr>
              <w:jc w:val="center"/>
            </w:pPr>
          </w:p>
        </w:tc>
        <w:tc>
          <w:tcPr>
            <w:tcW w:w="450" w:type="dxa"/>
            <w:vMerge/>
            <w:tcBorders>
              <w:left w:val="single" w:sz="18" w:space="0" w:color="FFFFFF"/>
              <w:right w:val="single" w:sz="2" w:space="0" w:color="FFFFFF"/>
            </w:tcBorders>
            <w:shd w:val="clear" w:color="auto" w:fill="CCC0D9"/>
            <w:vAlign w:val="center"/>
          </w:tcPr>
          <w:p w:rsidR="00617421" w:rsidRPr="006E7C15" w:rsidRDefault="00617421" w:rsidP="00C60967"/>
        </w:tc>
        <w:tc>
          <w:tcPr>
            <w:tcW w:w="360" w:type="dxa"/>
            <w:vMerge/>
            <w:tcBorders>
              <w:left w:val="single" w:sz="2" w:space="0" w:color="FFFFFF"/>
              <w:right w:val="single" w:sz="2" w:space="0" w:color="FFFFFF"/>
            </w:tcBorders>
            <w:shd w:val="clear" w:color="auto" w:fill="CCC0D9"/>
            <w:vAlign w:val="center"/>
          </w:tcPr>
          <w:p w:rsidR="00617421" w:rsidRPr="006E7C15" w:rsidRDefault="00617421" w:rsidP="00C60967">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rsidR="00617421" w:rsidRPr="006E7C15" w:rsidRDefault="00617421" w:rsidP="00C60967"/>
        </w:tc>
        <w:tc>
          <w:tcPr>
            <w:tcW w:w="360" w:type="dxa"/>
            <w:vMerge/>
            <w:tcBorders>
              <w:left w:val="single" w:sz="2" w:space="0" w:color="FFFFFF"/>
              <w:right w:val="single" w:sz="18" w:space="0" w:color="FFFFFF"/>
            </w:tcBorders>
            <w:shd w:val="clear" w:color="auto" w:fill="CCC0D9"/>
            <w:vAlign w:val="center"/>
          </w:tcPr>
          <w:p w:rsidR="00617421" w:rsidRPr="006E7C15" w:rsidRDefault="00617421" w:rsidP="00C60967"/>
        </w:tc>
        <w:tc>
          <w:tcPr>
            <w:tcW w:w="540" w:type="dxa"/>
            <w:vMerge/>
            <w:tcBorders>
              <w:left w:val="single" w:sz="18" w:space="0" w:color="FFFFFF"/>
              <w:right w:val="single" w:sz="4" w:space="0" w:color="FFFFFF" w:themeColor="background1"/>
            </w:tcBorders>
            <w:shd w:val="clear" w:color="auto" w:fill="B8CCE4"/>
            <w:vAlign w:val="center"/>
          </w:tcPr>
          <w:p w:rsidR="00617421" w:rsidRPr="006E7C15"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957C1A" w:rsidP="00C60967">
            <w:pPr>
              <w:rPr>
                <w:rFonts w:ascii="MS Mincho" w:eastAsia="MS Mincho" w:hAnsi="MS Mincho" w:cs="MS Mincho"/>
                <w:sz w:val="20"/>
              </w:rPr>
            </w:pPr>
            <w:commentRangeStart w:id="16"/>
            <w:r w:rsidRPr="0010229D">
              <w:rPr>
                <w:rFonts w:ascii="MS Mincho" w:eastAsia="MS Mincho" w:hAnsi="MS Mincho" w:cs="MS Mincho"/>
                <w:sz w:val="20"/>
              </w:rPr>
              <w:t>✔</w:t>
            </w:r>
            <w:commentRangeEnd w:id="16"/>
            <w:r w:rsidR="00993716">
              <w:rPr>
                <w:rStyle w:val="CommentReference"/>
              </w:rPr>
              <w:commentReference w:id="16"/>
            </w:r>
          </w:p>
        </w:tc>
        <w:tc>
          <w:tcPr>
            <w:tcW w:w="630" w:type="dxa"/>
            <w:vMerge/>
            <w:tcBorders>
              <w:left w:val="single" w:sz="4" w:space="0" w:color="FFFFFF" w:themeColor="background1"/>
              <w:right w:val="single" w:sz="4" w:space="0" w:color="FFFFFF" w:themeColor="background1"/>
            </w:tcBorders>
            <w:shd w:val="clear" w:color="auto" w:fill="B8CCE4"/>
            <w:vAlign w:val="center"/>
          </w:tcPr>
          <w:p w:rsidR="00617421" w:rsidRPr="006E7C15" w:rsidRDefault="00617421" w:rsidP="00C60967"/>
        </w:tc>
        <w:tc>
          <w:tcPr>
            <w:tcW w:w="461" w:type="dxa"/>
            <w:vMerge/>
            <w:tcBorders>
              <w:left w:val="single" w:sz="4" w:space="0" w:color="FFFFFF" w:themeColor="background1"/>
              <w:right w:val="single" w:sz="18" w:space="0" w:color="FFFFFF"/>
            </w:tcBorders>
            <w:shd w:val="clear" w:color="auto" w:fill="B8CCE4"/>
            <w:vAlign w:val="center"/>
          </w:tcPr>
          <w:p w:rsidR="00617421" w:rsidRPr="006E7C15" w:rsidRDefault="00617421" w:rsidP="00C60967"/>
        </w:tc>
        <w:tc>
          <w:tcPr>
            <w:tcW w:w="360" w:type="dxa"/>
            <w:vMerge/>
            <w:tcBorders>
              <w:left w:val="single" w:sz="18" w:space="0" w:color="FFFFFF"/>
              <w:right w:val="single" w:sz="2" w:space="0" w:color="FFFFFF"/>
            </w:tcBorders>
            <w:shd w:val="clear" w:color="auto" w:fill="D99594"/>
            <w:vAlign w:val="center"/>
          </w:tcPr>
          <w:p w:rsidR="00617421" w:rsidRPr="006E7C15" w:rsidRDefault="00617421" w:rsidP="00C60967"/>
        </w:tc>
        <w:tc>
          <w:tcPr>
            <w:tcW w:w="540" w:type="dxa"/>
            <w:vMerge/>
            <w:tcBorders>
              <w:left w:val="single" w:sz="2" w:space="0" w:color="FFFFFF"/>
              <w:right w:val="single" w:sz="2" w:space="0" w:color="FFFFFF"/>
            </w:tcBorders>
            <w:shd w:val="clear" w:color="auto" w:fill="D99594"/>
            <w:vAlign w:val="center"/>
          </w:tcPr>
          <w:p w:rsidR="00617421" w:rsidRPr="006E7C15" w:rsidRDefault="00617421" w:rsidP="00C60967">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rsidR="00617421" w:rsidRPr="006E7C15" w:rsidRDefault="00617421" w:rsidP="00C60967"/>
        </w:tc>
        <w:tc>
          <w:tcPr>
            <w:tcW w:w="342" w:type="dxa"/>
            <w:vMerge/>
            <w:tcBorders>
              <w:left w:val="single" w:sz="2" w:space="0" w:color="FFFFFF"/>
              <w:right w:val="single" w:sz="2" w:space="0" w:color="FFFFFF"/>
            </w:tcBorders>
            <w:shd w:val="clear" w:color="auto" w:fill="D99594"/>
            <w:vAlign w:val="center"/>
          </w:tcPr>
          <w:p w:rsidR="00617421" w:rsidRPr="006E7C15" w:rsidRDefault="00617421" w:rsidP="00C60967"/>
        </w:tc>
        <w:tc>
          <w:tcPr>
            <w:tcW w:w="343" w:type="dxa"/>
            <w:vMerge/>
            <w:tcBorders>
              <w:left w:val="single" w:sz="2" w:space="0" w:color="FFFFFF"/>
              <w:right w:val="single" w:sz="18" w:space="0" w:color="FFFFFF"/>
            </w:tcBorders>
            <w:shd w:val="clear" w:color="auto" w:fill="D99594"/>
          </w:tcPr>
          <w:p w:rsidR="00617421" w:rsidRPr="006E7C15" w:rsidRDefault="00617421" w:rsidP="00C60967"/>
        </w:tc>
      </w:tr>
    </w:tbl>
    <w:p w:rsidR="00617421" w:rsidRPr="00F1381D" w:rsidRDefault="00617421" w:rsidP="00C60967">
      <w:pPr>
        <w:spacing w:after="120"/>
        <w:rPr>
          <w:szCs w:val="22"/>
        </w:rPr>
      </w:pPr>
    </w:p>
    <w:p w:rsidR="00617421" w:rsidRPr="00D3030B" w:rsidRDefault="00617421" w:rsidP="00FE5928">
      <w:pPr>
        <w:pStyle w:val="Heading3"/>
        <w:rPr>
          <w:rFonts w:ascii="Sylfaen" w:hAnsi="Sylfaen"/>
          <w:color w:val="000000" w:themeColor="text1"/>
          <w:szCs w:val="22"/>
          <w:lang w:val="ka-GE"/>
        </w:rPr>
      </w:pPr>
      <w:r w:rsidRPr="00831E0B">
        <w:t>Commitment Aim:</w:t>
      </w:r>
      <w:bookmarkEnd w:id="14"/>
    </w:p>
    <w:p w:rsidR="00617421" w:rsidRDefault="00617421" w:rsidP="00C60967">
      <w:pPr>
        <w:rPr>
          <w:noProof/>
          <w:szCs w:val="22"/>
        </w:rPr>
      </w:pPr>
      <w:r>
        <w:t xml:space="preserve">While the Government of Georgia adopted a Universal Healthcare Program covering all citizens of Georgia in 2013, according to the Ministry of Labour, Health, and Social Affairs of Georgia (hereinafter, the MoLHSA), citizens had limited information about </w:t>
      </w:r>
      <w:r w:rsidR="00674DA2">
        <w:t xml:space="preserve">their </w:t>
      </w:r>
      <w:r>
        <w:t xml:space="preserve">rights and </w:t>
      </w:r>
      <w:r w:rsidR="0070249A">
        <w:t xml:space="preserve">the </w:t>
      </w:r>
      <w:r>
        <w:t xml:space="preserve">services available under the plan. The Ministry </w:t>
      </w:r>
      <w:r w:rsidR="00005313">
        <w:t xml:space="preserve">made </w:t>
      </w:r>
      <w:r>
        <w:t xml:space="preserve">a commitment to create a unified electronic portal </w:t>
      </w:r>
      <w:r w:rsidR="00265598">
        <w:t>to</w:t>
      </w:r>
      <w:r>
        <w:t xml:space="preserve"> provide information regarding availability of hospital beds, background of medical staff, service providers, as well as </w:t>
      </w:r>
      <w:r w:rsidR="0070249A">
        <w:t>the</w:t>
      </w:r>
      <w:r>
        <w:t xml:space="preserve"> patient</w:t>
      </w:r>
      <w:r w:rsidR="0070249A">
        <w:t>’s own personal information</w:t>
      </w:r>
      <w:r>
        <w:t xml:space="preserve">. The portal would allow citizens to browse information regarding medical facilities, to retrieve their medical history and electronic prescriptions, and to make appointments at healthcare service providers. </w:t>
      </w:r>
    </w:p>
    <w:p w:rsidR="00617421" w:rsidRDefault="00617421" w:rsidP="00C60967">
      <w:pPr>
        <w:rPr>
          <w:noProof/>
          <w:szCs w:val="22"/>
        </w:rPr>
      </w:pPr>
    </w:p>
    <w:p w:rsidR="00617421" w:rsidRPr="00831E0B" w:rsidRDefault="00617421" w:rsidP="00FE5928">
      <w:pPr>
        <w:pStyle w:val="Heading3"/>
      </w:pPr>
      <w:r w:rsidRPr="0010229D">
        <w:t>Status</w:t>
      </w:r>
    </w:p>
    <w:p w:rsidR="00617421" w:rsidRPr="004B1C12" w:rsidRDefault="00617421" w:rsidP="00C60967">
      <w:pPr>
        <w:pStyle w:val="Normalrglronly"/>
        <w:rPr>
          <w:b/>
        </w:rPr>
      </w:pPr>
      <w:r w:rsidRPr="004B1C12">
        <w:rPr>
          <w:b/>
        </w:rPr>
        <w:t xml:space="preserve">Midterm: </w:t>
      </w:r>
      <w:r>
        <w:rPr>
          <w:b/>
          <w:color w:val="000000" w:themeColor="text1"/>
        </w:rPr>
        <w:t xml:space="preserve">Limited </w:t>
      </w:r>
    </w:p>
    <w:p w:rsidR="00617421" w:rsidRDefault="00617421" w:rsidP="00C60967">
      <w:r w:rsidRPr="0083402F">
        <w:t xml:space="preserve">By the midterm, the commitment completion was limited. While the MoLHSA held consultation meetings with partners such as the Office of the Personal Data Inspector, USAID’s Good Governance Initiative (GGI), and Institute for Development of Freedom of Information (IDFI), among others, as of August 2017, the concept paper of the portal was not developed. The Ministry did not have a clear vision of which services and modules were already available on the website, and which were to be added on the new portal. As of August 2017, the Ministry was working with the consultant provided by GGI on developing the concept of the portal. </w:t>
      </w:r>
    </w:p>
    <w:p w:rsidR="00617421" w:rsidRPr="00CB71BB" w:rsidRDefault="00617421" w:rsidP="00C60967">
      <w:pPr>
        <w:rPr>
          <w:rFonts w:ascii="Sylfaen" w:hAnsi="Sylfaen"/>
          <w:lang w:val="ka-GE"/>
        </w:rPr>
      </w:pPr>
    </w:p>
    <w:p w:rsidR="00617421" w:rsidRDefault="00617421" w:rsidP="00C60967">
      <w:r w:rsidRPr="0083402F">
        <w:t xml:space="preserve">Among the challenges that MoLHSA </w:t>
      </w:r>
      <w:r>
        <w:t>faced</w:t>
      </w:r>
      <w:r w:rsidRPr="0083402F">
        <w:t xml:space="preserve"> was lack of coordination and unified vision of the portal, lack of funding, as well as ongoing discussions with the Office of the Personal Data Inspector on possible implications of the portal for personal data protection considering the sensitivity of patient’s data to be included on the portal.</w:t>
      </w:r>
      <w:r>
        <w:rPr>
          <w:rStyle w:val="EndnoteReference"/>
        </w:rPr>
        <w:endnoteReference w:id="13"/>
      </w:r>
      <w:r w:rsidRPr="0083402F">
        <w:t xml:space="preserve">   </w:t>
      </w:r>
    </w:p>
    <w:p w:rsidR="00617421" w:rsidRPr="004B1C12" w:rsidRDefault="00617421" w:rsidP="00C60967">
      <w:pPr>
        <w:rPr>
          <w:i/>
          <w:color w:val="4F81BD" w:themeColor="accent1"/>
        </w:rPr>
      </w:pPr>
    </w:p>
    <w:p w:rsidR="00617421" w:rsidRPr="00B96D79" w:rsidRDefault="00617421" w:rsidP="00C60967">
      <w:pPr>
        <w:pStyle w:val="Normalrglronly"/>
        <w:rPr>
          <w:b/>
          <w:color w:val="000000" w:themeColor="text1"/>
        </w:rPr>
      </w:pPr>
      <w:r w:rsidRPr="004B1C12">
        <w:rPr>
          <w:b/>
        </w:rPr>
        <w:t xml:space="preserve">End of term: </w:t>
      </w:r>
      <w:r w:rsidR="00957C1A">
        <w:rPr>
          <w:b/>
          <w:color w:val="000000" w:themeColor="text1"/>
        </w:rPr>
        <w:t>Limited</w:t>
      </w:r>
    </w:p>
    <w:p w:rsidR="00617421" w:rsidRDefault="00617421" w:rsidP="00C60967">
      <w:pPr>
        <w:pStyle w:val="Normalrglronly"/>
        <w:rPr>
          <w:szCs w:val="20"/>
        </w:rPr>
      </w:pPr>
      <w:r w:rsidRPr="00511653">
        <w:rPr>
          <w:szCs w:val="20"/>
        </w:rPr>
        <w:t xml:space="preserve">Since last evaluation, the Ministry developed the concept paper of the portal </w:t>
      </w:r>
      <w:r>
        <w:rPr>
          <w:szCs w:val="20"/>
        </w:rPr>
        <w:t>with the help of the partner GGI.</w:t>
      </w:r>
      <w:r>
        <w:rPr>
          <w:rStyle w:val="EndnoteReference"/>
          <w:szCs w:val="20"/>
        </w:rPr>
        <w:endnoteReference w:id="14"/>
      </w:r>
      <w:r>
        <w:rPr>
          <w:szCs w:val="20"/>
        </w:rPr>
        <w:t xml:space="preserve"> The Ministry started working on the patient’s portal in late fall of 2017, and launched the portal in April 2018. While the new portal provides citizens with some information outlined in the commitment text, it does not </w:t>
      </w:r>
      <w:commentRangeStart w:id="17"/>
      <w:r>
        <w:rPr>
          <w:szCs w:val="20"/>
        </w:rPr>
        <w:t>combine all features envisioned by the commitment such as information on hospital beds, medical facilities, background of the doctors, blood bank</w:t>
      </w:r>
      <w:commentRangeEnd w:id="17"/>
      <w:r w:rsidR="00993716">
        <w:rPr>
          <w:rStyle w:val="CommentReference"/>
        </w:rPr>
        <w:commentReference w:id="17"/>
      </w:r>
      <w:r>
        <w:rPr>
          <w:szCs w:val="20"/>
        </w:rPr>
        <w:t xml:space="preserve">, </w:t>
      </w:r>
      <w:commentRangeStart w:id="18"/>
      <w:r>
        <w:rPr>
          <w:szCs w:val="20"/>
        </w:rPr>
        <w:t xml:space="preserve">patient’s medical history </w:t>
      </w:r>
      <w:commentRangeEnd w:id="18"/>
      <w:r w:rsidR="00993716">
        <w:rPr>
          <w:rStyle w:val="CommentReference"/>
        </w:rPr>
        <w:commentReference w:id="18"/>
      </w:r>
      <w:r>
        <w:rPr>
          <w:szCs w:val="20"/>
        </w:rPr>
        <w:t xml:space="preserve">and more, which implies that it falls short of the result as outlined in the commitment text. According to one of the partners of the MoHLSA, implemented activities (i.e. abovementioned platform and modules scattered on different websites of the Ministry) do not </w:t>
      </w:r>
      <w:r w:rsidR="00F331D2">
        <w:rPr>
          <w:szCs w:val="20"/>
        </w:rPr>
        <w:t>corres</w:t>
      </w:r>
      <w:r w:rsidR="005528CB">
        <w:rPr>
          <w:szCs w:val="20"/>
        </w:rPr>
        <w:t xml:space="preserve">pond </w:t>
      </w:r>
      <w:r w:rsidR="00F331D2">
        <w:rPr>
          <w:szCs w:val="20"/>
        </w:rPr>
        <w:t>to</w:t>
      </w:r>
      <w:r>
        <w:rPr>
          <w:szCs w:val="20"/>
        </w:rPr>
        <w:t xml:space="preserve"> the concept paper.</w:t>
      </w:r>
      <w:r>
        <w:rPr>
          <w:rStyle w:val="EndnoteReference"/>
          <w:szCs w:val="20"/>
        </w:rPr>
        <w:endnoteReference w:id="15"/>
      </w:r>
      <w:r>
        <w:rPr>
          <w:szCs w:val="20"/>
        </w:rPr>
        <w:t xml:space="preserve"> </w:t>
      </w:r>
      <w:bookmarkStart w:id="19" w:name="_Toc525759456"/>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19"/>
    </w:p>
    <w:p w:rsidR="00617421" w:rsidRDefault="00EF04E6" w:rsidP="00C60967">
      <w:pPr>
        <w:rPr>
          <w:b/>
          <w:color w:val="000000" w:themeColor="text1"/>
        </w:rPr>
      </w:pPr>
      <w:r>
        <w:rPr>
          <w:b/>
          <w:color w:val="000000" w:themeColor="text1"/>
        </w:rPr>
        <w:t xml:space="preserve">Access to information: Marginal </w:t>
      </w:r>
    </w:p>
    <w:p w:rsidR="00617421" w:rsidRDefault="00617421" w:rsidP="00C60967">
      <w:pPr>
        <w:rPr>
          <w:b/>
          <w:color w:val="000000" w:themeColor="text1"/>
        </w:rPr>
      </w:pPr>
    </w:p>
    <w:p w:rsidR="00617421" w:rsidRPr="0083402F" w:rsidRDefault="00265598" w:rsidP="00265598">
      <w:pPr>
        <w:pStyle w:val="Normalrglronly"/>
      </w:pPr>
      <w:r>
        <w:rPr>
          <w:szCs w:val="20"/>
        </w:rPr>
        <w:t>The created website requires citizen’s personal ID number for authorization. Registration on the portal is simple, which brings the user straight to the page on relevant insurance and social services available to the citizen under the Universal Healthcare Program.  The portal features a FAQ section, as well as a section where citizens can ask questions directly to the site administrator.</w:t>
      </w:r>
      <w:r>
        <w:rPr>
          <w:rStyle w:val="EndnoteReference"/>
          <w:szCs w:val="20"/>
        </w:rPr>
        <w:endnoteReference w:id="16"/>
      </w:r>
      <w:r>
        <w:rPr>
          <w:szCs w:val="20"/>
        </w:rPr>
        <w:t xml:space="preserve"> The portal also redirects the user to the Social Service Agency website, where one can find information about health programs, social programs, and more. The website of the </w:t>
      </w:r>
      <w:r>
        <w:rPr>
          <w:szCs w:val="20"/>
        </w:rPr>
        <w:lastRenderedPageBreak/>
        <w:t xml:space="preserve">Service Agency existed prior to creation of the new portal. </w:t>
      </w:r>
      <w:r w:rsidR="00EF04E6">
        <w:rPr>
          <w:szCs w:val="20"/>
        </w:rPr>
        <w:t xml:space="preserve">However, the platform simplifies access to existing information by providing relevant links in one space. </w:t>
      </w:r>
      <w:r>
        <w:rPr>
          <w:szCs w:val="20"/>
        </w:rPr>
        <w:t>As such</w:t>
      </w:r>
      <w:r w:rsidR="00617421">
        <w:t xml:space="preserve">, </w:t>
      </w:r>
      <w:r w:rsidR="00EF04E6">
        <w:t>while several types of data outlined in the commitme</w:t>
      </w:r>
      <w:bookmarkStart w:id="20" w:name="_GoBack"/>
      <w:bookmarkEnd w:id="20"/>
      <w:r w:rsidR="00EF04E6">
        <w:t xml:space="preserve">nt text is missing, the portal makes existing information under the Ministry more accessible to the public. </w:t>
      </w:r>
      <w:bookmarkStart w:id="21" w:name="_Toc525759457"/>
    </w:p>
    <w:p w:rsidR="00617421" w:rsidRPr="00831E0B" w:rsidRDefault="00617421" w:rsidP="00FE5928">
      <w:pPr>
        <w:pStyle w:val="Heading3"/>
      </w:pPr>
      <w:r w:rsidRPr="0010229D">
        <w:t xml:space="preserve">Carried </w:t>
      </w:r>
      <w:r w:rsidRPr="004B1C12">
        <w:t>F</w:t>
      </w:r>
      <w:r w:rsidRPr="0010229D">
        <w:t>orward?</w:t>
      </w:r>
      <w:bookmarkEnd w:id="21"/>
    </w:p>
    <w:p w:rsidR="00617421" w:rsidRPr="00332A31" w:rsidRDefault="00617421" w:rsidP="00211511">
      <w:pPr>
        <w:rPr>
          <w:rFonts w:ascii="Sylfaen" w:eastAsiaTheme="majorEastAsia" w:hAnsi="Sylfaen"/>
          <w:b/>
          <w:bCs/>
          <w:color w:val="1F497D" w:themeColor="text2"/>
          <w:sz w:val="32"/>
          <w:szCs w:val="32"/>
          <w:lang w:val="ka-GE"/>
        </w:rPr>
        <w:sectPr w:rsidR="00617421" w:rsidRPr="00332A3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r w:rsidRPr="00407534">
        <w:rPr>
          <w:color w:val="000000" w:themeColor="text1"/>
        </w:rPr>
        <w:t>The commitment was not carried into the new Action Plan 2018-20</w:t>
      </w:r>
      <w:r w:rsidR="00F45D79">
        <w:rPr>
          <w:color w:val="000000" w:themeColor="text1"/>
        </w:rPr>
        <w:t>19</w:t>
      </w:r>
      <w:r w:rsidRPr="00407534">
        <w:rPr>
          <w:color w:val="000000" w:themeColor="text1"/>
        </w:rPr>
        <w:t xml:space="preserve">. </w:t>
      </w:r>
    </w:p>
    <w:p w:rsidR="00617421" w:rsidRDefault="00617421" w:rsidP="004A7735">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7D25FE" w:rsidRDefault="007D25FE" w:rsidP="004A7735">
      <w:pPr>
        <w:pStyle w:val="Heading2"/>
        <w:sectPr w:rsidR="007D25FE"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Pr="004B1C12" w:rsidRDefault="00617421" w:rsidP="004A7735">
      <w:pPr>
        <w:pStyle w:val="Heading2"/>
      </w:pPr>
      <w:bookmarkStart w:id="22" w:name="_Toc409220375"/>
      <w:r w:rsidRPr="00A844FC">
        <w:lastRenderedPageBreak/>
        <w:t>3. Introduction of electronic licensing system in the field of natural resource application</w:t>
      </w:r>
      <w:bookmarkEnd w:id="22"/>
    </w:p>
    <w:p w:rsidR="00617421" w:rsidRDefault="00617421" w:rsidP="00392E63">
      <w:pPr>
        <w:pStyle w:val="Normalrglronly"/>
        <w:rPr>
          <w:b/>
        </w:rPr>
      </w:pPr>
      <w:r w:rsidRPr="004B1C12">
        <w:rPr>
          <w:b/>
        </w:rPr>
        <w:t>Commitment Text:</w:t>
      </w:r>
      <w:r>
        <w:rPr>
          <w:b/>
        </w:rPr>
        <w:t xml:space="preserve"> </w:t>
      </w:r>
    </w:p>
    <w:p w:rsidR="00617421" w:rsidRDefault="00617421" w:rsidP="00A844FC">
      <w:pPr>
        <w:pStyle w:val="APQuotefeaturetol"/>
      </w:pPr>
      <w:r>
        <w:t>Currently, issuance of licenses for using natural resources (except for oil and natural gas) are only partially electronized by the National Environment Agency. A licensee is only able to participate in the auction through electronic means.</w:t>
      </w:r>
    </w:p>
    <w:p w:rsidR="00617421" w:rsidRDefault="00617421" w:rsidP="00A844FC">
      <w:pPr>
        <w:pStyle w:val="APQuotefeaturetol"/>
      </w:pPr>
      <w:r>
        <w:t>A citizen who is willing to obtain a license and/or receive any other paid services outside the auction, within the auction or afterwards, must complete additional paperwork (for example, submission of an application and other accompanying documents, the owner’s consent and decision, statistical form, etc.) before and after the auction. This process requires additional time and financial resources both for the citizen and the agency. Sorting and analyzing information received non-electronically is another complication. The current licensing system is problematic because it is important to distribute high quality information in a timely fashion not only for formation of the database, but to deliver virious services promptly for the licensees, license seekers, public structures and other stakeholders.</w:t>
      </w:r>
    </w:p>
    <w:p w:rsidR="00617421" w:rsidRPr="00474F02" w:rsidRDefault="00617421" w:rsidP="00A844FC">
      <w:pPr>
        <w:pStyle w:val="Normalrglronly"/>
        <w:rPr>
          <w:b/>
          <w:i/>
        </w:rPr>
      </w:pPr>
      <w:r w:rsidRPr="00474F02">
        <w:rPr>
          <w:i/>
        </w:rPr>
        <w:t>Through this commitment, the National Environment Agency shall issue licenses and render other paid services entirely in an electronic manner. The new electronic system allows for documents pertaining to the licensing field to be available electronically. As a result, the agency will be able to sort and form the statistical database of collected information in a much more efficient manner. The system will ensure prompt, high-quality delivery of the processed information. Furthermore, the customer will have simplified access to any public information (statistics, online map of resources, guidebook, etc.) available in the licensing field. It is important that and the licensees will be able to contact and share information with one another.</w:t>
      </w:r>
    </w:p>
    <w:p w:rsidR="00617421" w:rsidRPr="00505C1E" w:rsidRDefault="00617421" w:rsidP="00392E63">
      <w:pPr>
        <w:pStyle w:val="Normalrglronly"/>
      </w:pPr>
      <w:r w:rsidRPr="00505C1E">
        <w:t xml:space="preserve">Responsible Institution(s): </w:t>
      </w:r>
      <w:r w:rsidRPr="00505C1E">
        <w:rPr>
          <w:noProof/>
        </w:rPr>
        <w:t>LEPL – National Evironment Agency, Ministry of Environment and Natural Resources Protection of Georgia</w:t>
      </w:r>
    </w:p>
    <w:p w:rsidR="00617421" w:rsidRPr="00505C1E" w:rsidRDefault="00617421" w:rsidP="00392E63">
      <w:pPr>
        <w:pStyle w:val="Normalrglronly"/>
      </w:pPr>
      <w:r w:rsidRPr="00505C1E">
        <w:t xml:space="preserve">Supporting Institution(s): </w:t>
      </w:r>
      <w:r w:rsidRPr="00505C1E">
        <w:rPr>
          <w:noProof/>
        </w:rPr>
        <w:t>None</w:t>
      </w:r>
    </w:p>
    <w:p w:rsidR="00617421" w:rsidRPr="00505C1E" w:rsidRDefault="00617421" w:rsidP="00347C4B">
      <w:pPr>
        <w:pStyle w:val="Normalrglronly"/>
      </w:pPr>
      <w:r w:rsidRPr="00505C1E">
        <w:t>Start Date: December 2015</w:t>
      </w:r>
      <w:r>
        <w:t xml:space="preserve"> </w:t>
      </w:r>
      <w:r w:rsidRPr="00505C1E">
        <w:t xml:space="preserve"> </w:t>
      </w:r>
      <w:r>
        <w:t xml:space="preserve">    </w:t>
      </w:r>
      <w:r>
        <w:tab/>
      </w:r>
      <w:r w:rsidRPr="00505C1E">
        <w:t>End Date: December 2017</w:t>
      </w:r>
      <w:r w:rsidRPr="00505C1E">
        <w:rPr>
          <w:i/>
          <w:color w:val="4F81BD" w:themeColor="accent1"/>
        </w:rPr>
        <w:t xml:space="preserve"> </w:t>
      </w:r>
    </w:p>
    <w:p w:rsidR="00617421" w:rsidRPr="00347C4B" w:rsidRDefault="00617421" w:rsidP="00347C4B">
      <w:pPr>
        <w:pStyle w:val="Normalrglronly"/>
        <w:rPr>
          <w:b/>
        </w:rPr>
      </w:pPr>
    </w:p>
    <w:tbl>
      <w:tblPr>
        <w:tblW w:w="10971"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780B24">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617421" w:rsidRPr="004B1C12" w:rsidTr="00780B24">
        <w:trPr>
          <w:trHeight w:val="600"/>
        </w:trPr>
        <w:tc>
          <w:tcPr>
            <w:tcW w:w="1596" w:type="dxa"/>
            <w:vMerge w:val="restart"/>
            <w:tcBorders>
              <w:top w:val="single" w:sz="18" w:space="0" w:color="FFFFFF"/>
              <w:left w:val="single" w:sz="4" w:space="0" w:color="FFFFFF"/>
            </w:tcBorders>
            <w:shd w:val="clear" w:color="auto" w:fill="000000"/>
            <w:vAlign w:val="center"/>
          </w:tcPr>
          <w:p w:rsidR="00617421" w:rsidRPr="0010229D" w:rsidRDefault="00617421" w:rsidP="00C60967">
            <w:pPr>
              <w:rPr>
                <w:color w:val="FFFFFF" w:themeColor="background1"/>
              </w:rPr>
            </w:pPr>
            <w:r w:rsidRPr="00F00AF2">
              <w:rPr>
                <w:color w:val="FFFFFF" w:themeColor="background1"/>
              </w:rPr>
              <w:t xml:space="preserve">3. Introduction </w:t>
            </w:r>
            <w:r w:rsidRPr="00F00AF2">
              <w:rPr>
                <w:color w:val="FFFFFF" w:themeColor="background1"/>
              </w:rPr>
              <w:lastRenderedPageBreak/>
              <w:t xml:space="preserve">of electronic licensing system in the field of natural resources application </w:t>
            </w:r>
          </w:p>
        </w:tc>
        <w:tc>
          <w:tcPr>
            <w:tcW w:w="445" w:type="dxa"/>
            <w:vMerge w:val="restart"/>
            <w:tcBorders>
              <w:top w:val="single" w:sz="18" w:space="0" w:color="FFFFFF"/>
              <w:right w:val="single" w:sz="2" w:space="0" w:color="FFFFFF"/>
            </w:tcBorders>
            <w:shd w:val="clear" w:color="auto" w:fill="D6E3BC"/>
            <w:vAlign w:val="center"/>
          </w:tcPr>
          <w:p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r w:rsidRPr="0010229D">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10229D" w:rsidRDefault="00617421" w:rsidP="00C60967"/>
        </w:tc>
      </w:tr>
      <w:tr w:rsidR="00617421" w:rsidRPr="004B1C12" w:rsidTr="00780B24">
        <w:trPr>
          <w:trHeight w:val="636"/>
        </w:trPr>
        <w:tc>
          <w:tcPr>
            <w:tcW w:w="1596" w:type="dxa"/>
            <w:vMerge/>
            <w:tcBorders>
              <w:left w:val="nil"/>
              <w:bottom w:val="single" w:sz="18" w:space="0" w:color="FFFFFF"/>
            </w:tcBorders>
            <w:shd w:val="clear" w:color="auto" w:fill="000000"/>
            <w:vAlign w:val="center"/>
          </w:tcPr>
          <w:p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617421" w:rsidRPr="0010229D" w:rsidRDefault="00617421"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360" w:type="dxa"/>
            <w:vMerge/>
            <w:tcBorders>
              <w:left w:val="single" w:sz="18" w:space="0" w:color="FFFFFF"/>
              <w:bottom w:val="single" w:sz="18" w:space="0" w:color="FFFFFF"/>
              <w:right w:val="single" w:sz="2" w:space="0" w:color="FFFFFF"/>
            </w:tcBorders>
            <w:shd w:val="clear" w:color="auto" w:fill="D99594"/>
            <w:vAlign w:val="center"/>
          </w:tcPr>
          <w:p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rsidR="00617421" w:rsidRPr="0010229D" w:rsidRDefault="00617421" w:rsidP="00C60967"/>
        </w:tc>
      </w:tr>
    </w:tbl>
    <w:p w:rsidR="00617421" w:rsidRPr="004B1C12" w:rsidRDefault="00617421" w:rsidP="00CB355C">
      <w:pPr>
        <w:rPr>
          <w:i/>
          <w:color w:val="4F81BD" w:themeColor="accent1"/>
        </w:rPr>
      </w:pPr>
    </w:p>
    <w:p w:rsidR="00617421" w:rsidRDefault="00617421" w:rsidP="00FE5928">
      <w:pPr>
        <w:pStyle w:val="Heading3"/>
      </w:pPr>
      <w:r w:rsidRPr="0010229D">
        <w:t xml:space="preserve">Commitment </w:t>
      </w:r>
      <w:r w:rsidRPr="004B1C12">
        <w:t>A</w:t>
      </w:r>
      <w:r w:rsidRPr="0010229D">
        <w:t>im:</w:t>
      </w:r>
    </w:p>
    <w:p w:rsidR="00617421" w:rsidRDefault="00617421" w:rsidP="00347C4B">
      <w:r>
        <w:t xml:space="preserve">This commitment aimed to expedite the processing of licensing documentation in the field of natural resources application by introducing an electronic licensing system. At the time this commitment was adopted, investors in Georgia faced difficulties in obtaining licenses from the National Environment Agency for using natural resources. There was a significant amount of paperwork to do, and the process dragged. More specifically, the commitment set out to: </w:t>
      </w:r>
    </w:p>
    <w:p w:rsidR="00617421" w:rsidRDefault="00617421" w:rsidP="00347C4B"/>
    <w:p w:rsidR="00617421" w:rsidRDefault="00617421" w:rsidP="0062096D">
      <w:pPr>
        <w:pStyle w:val="ListParagraph"/>
      </w:pPr>
      <w:r>
        <w:rPr>
          <w:lang w:val="en-US"/>
        </w:rPr>
        <w:t>Provide</w:t>
      </w:r>
      <w:r>
        <w:t xml:space="preserve"> licenses and other paid services entirely in an electronic manner;</w:t>
      </w:r>
    </w:p>
    <w:p w:rsidR="00617421" w:rsidRDefault="00617421" w:rsidP="0062096D">
      <w:pPr>
        <w:pStyle w:val="ListParagraph"/>
      </w:pPr>
      <w:r>
        <w:t>Make documents in the licensing field available electronically;</w:t>
      </w:r>
    </w:p>
    <w:p w:rsidR="00617421" w:rsidRDefault="00617421" w:rsidP="0062096D">
      <w:pPr>
        <w:pStyle w:val="ListParagraph"/>
      </w:pPr>
      <w:r>
        <w:t xml:space="preserve">Give the customer </w:t>
      </w:r>
      <w:r w:rsidRPr="00F00AF2">
        <w:t xml:space="preserve">simplified access to any public information </w:t>
      </w:r>
      <w:r>
        <w:t xml:space="preserve">in the field, including </w:t>
      </w:r>
      <w:r w:rsidRPr="00F00AF2">
        <w:t>statistics, online map</w:t>
      </w:r>
      <w:r>
        <w:t xml:space="preserve"> of resources, and guidebook. </w:t>
      </w:r>
      <w:r w:rsidRPr="00347C4B">
        <w:rPr>
          <w:i/>
          <w:color w:val="4F81BD" w:themeColor="accent1"/>
        </w:rPr>
        <w:t xml:space="preserve"> </w:t>
      </w:r>
    </w:p>
    <w:p w:rsidR="00617421" w:rsidRPr="0010229D" w:rsidRDefault="00617421" w:rsidP="00FE5928">
      <w:pPr>
        <w:pStyle w:val="Heading3"/>
      </w:pPr>
      <w:r w:rsidRPr="0010229D">
        <w:t>Status</w:t>
      </w:r>
    </w:p>
    <w:p w:rsidR="00617421" w:rsidRDefault="00617421" w:rsidP="00D1485D">
      <w:pPr>
        <w:pStyle w:val="Normalrglronly"/>
        <w:rPr>
          <w:b/>
          <w:color w:val="000000" w:themeColor="text1"/>
        </w:rPr>
      </w:pPr>
      <w:r w:rsidRPr="004B1C12">
        <w:rPr>
          <w:b/>
        </w:rPr>
        <w:t xml:space="preserve">Midterm: </w:t>
      </w:r>
      <w:r w:rsidRPr="004B1C12">
        <w:rPr>
          <w:b/>
          <w:color w:val="000000" w:themeColor="text1"/>
        </w:rPr>
        <w:t>Limited</w:t>
      </w:r>
    </w:p>
    <w:p w:rsidR="00617421" w:rsidRPr="005456D4" w:rsidRDefault="00617421" w:rsidP="00D1485D">
      <w:pPr>
        <w:pStyle w:val="Normalrglronly"/>
        <w:rPr>
          <w:b/>
        </w:rPr>
      </w:pPr>
      <w:r w:rsidRPr="005456D4">
        <w:t xml:space="preserve">This commitment saw limited implementation by the mid-term. The first phase, including analyzing business processes of the new electronic system, was successfully completed in June 2017. However, the Agency decided to add two new components to the system that turned out to be more challenging to implement: 1) integrating the Environmental Supervision Department into the new system to monitor how the licensees are implementing their obligations; and 2) developing more robust electronic modules in the field of mineral resources application. The Agency’s IT specialists were busy analyzing whether it would be possible to add those two components to the system. </w:t>
      </w:r>
    </w:p>
    <w:p w:rsidR="00617421" w:rsidRDefault="00617421" w:rsidP="00D1485D">
      <w:pPr>
        <w:pStyle w:val="Normalrglronly"/>
        <w:rPr>
          <w:b/>
        </w:rPr>
      </w:pPr>
    </w:p>
    <w:p w:rsidR="00617421" w:rsidRPr="005456D4" w:rsidRDefault="00617421" w:rsidP="00D1485D">
      <w:pPr>
        <w:pStyle w:val="Normalrglronly"/>
        <w:rPr>
          <w:b/>
          <w:color w:val="000000" w:themeColor="text1"/>
        </w:rPr>
      </w:pPr>
      <w:r w:rsidRPr="005456D4">
        <w:rPr>
          <w:b/>
        </w:rPr>
        <w:t xml:space="preserve">End of term: </w:t>
      </w:r>
      <w:r w:rsidRPr="005456D4">
        <w:rPr>
          <w:b/>
          <w:color w:val="000000" w:themeColor="text1"/>
        </w:rPr>
        <w:t>Complete</w:t>
      </w:r>
    </w:p>
    <w:p w:rsidR="00617421" w:rsidRPr="005456D4" w:rsidRDefault="00617421" w:rsidP="00BB44ED">
      <w:pPr>
        <w:pStyle w:val="Normalrglronly"/>
        <w:rPr>
          <w:color w:val="auto"/>
          <w:shd w:val="clear" w:color="auto" w:fill="FFFFFF"/>
        </w:rPr>
      </w:pPr>
      <w:r w:rsidRPr="005456D4">
        <w:rPr>
          <w:color w:val="auto"/>
          <w:shd w:val="clear" w:color="auto" w:fill="FFFFFF"/>
        </w:rPr>
        <w:t>According to the December 2017 amendments, the competences of the Ministry of Environment and Natural Resources in the field of natural resources have been transferred to the newly created National Agency of Mineral Resources under the Ministry of Economy and Sustainable Development.</w:t>
      </w:r>
      <w:r w:rsidRPr="005456D4">
        <w:rPr>
          <w:rStyle w:val="EndnoteReference"/>
          <w:color w:val="auto"/>
          <w:shd w:val="clear" w:color="auto" w:fill="FFFFFF"/>
        </w:rPr>
        <w:endnoteReference w:id="17"/>
      </w:r>
      <w:r w:rsidRPr="005456D4">
        <w:rPr>
          <w:color w:val="auto"/>
          <w:shd w:val="clear" w:color="auto" w:fill="FFFFFF"/>
        </w:rPr>
        <w:t xml:space="preserve"> </w:t>
      </w:r>
      <w:r>
        <w:rPr>
          <w:color w:val="auto"/>
          <w:shd w:val="clear" w:color="auto" w:fill="FFFFFF"/>
        </w:rPr>
        <w:t>On February 20,</w:t>
      </w:r>
      <w:r w:rsidRPr="005456D4">
        <w:rPr>
          <w:color w:val="auto"/>
          <w:shd w:val="clear" w:color="auto" w:fill="FFFFFF"/>
        </w:rPr>
        <w:t xml:space="preserve"> 2018, the Agency launched a new portal on the webpage of the Revenue Service, nam.rs.ge, which allows license seekers to register their interest to participate in the auction and to submit all necessary documents to the Agency electronically, including the license implementation action plans and relevant statistics. The portal also allows the Agency to send out notifications about new developments in the field to all registered license seekers or licensees. It contains full and up-to-date data on the licensees, location of licensed objects, list of natural resourc</w:t>
      </w:r>
      <w:r>
        <w:rPr>
          <w:color w:val="auto"/>
          <w:shd w:val="clear" w:color="auto" w:fill="FFFFFF"/>
        </w:rPr>
        <w:t xml:space="preserve">es for licensing as well as </w:t>
      </w:r>
      <w:r w:rsidRPr="005456D4">
        <w:rPr>
          <w:color w:val="auto"/>
          <w:shd w:val="clear" w:color="auto" w:fill="FFFFFF"/>
        </w:rPr>
        <w:t>dates, costs and the scope of license agreements. In order to register on the portal, interested users should refer to the service center of the Agency of Mineral Resources to obtain the necessary username and the password after which they will be assigned a unique registration number.</w:t>
      </w:r>
      <w:r w:rsidRPr="005456D4">
        <w:rPr>
          <w:rStyle w:val="EndnoteReference"/>
          <w:color w:val="auto"/>
          <w:shd w:val="clear" w:color="auto" w:fill="FFFFFF"/>
        </w:rPr>
        <w:endnoteReference w:id="18"/>
      </w:r>
      <w:r w:rsidRPr="005456D4">
        <w:rPr>
          <w:color w:val="auto"/>
          <w:shd w:val="clear" w:color="auto" w:fill="FFFFFF"/>
        </w:rPr>
        <w:t xml:space="preserve"> In addition, in April 2018, the Agency launched another portal which should contain data on all geological projects implemented in Georgia, </w:t>
      </w:r>
      <w:r w:rsidRPr="005456D4">
        <w:rPr>
          <w:color w:val="auto"/>
          <w:shd w:val="clear" w:color="auto" w:fill="FFFFFF"/>
        </w:rPr>
        <w:lastRenderedPageBreak/>
        <w:t>including relevant reports, cadastral maps, characteristics and photos of geological objects, and expert comments on the condition of those objects, as well as minutes of relevant inter-agency meetings.</w:t>
      </w:r>
      <w:r w:rsidRPr="005456D4">
        <w:rPr>
          <w:rStyle w:val="EndnoteReference"/>
          <w:color w:val="auto"/>
          <w:shd w:val="clear" w:color="auto" w:fill="FFFFFF"/>
        </w:rPr>
        <w:endnoteReference w:id="19"/>
      </w:r>
      <w:r w:rsidRPr="005456D4">
        <w:rPr>
          <w:color w:val="auto"/>
          <w:shd w:val="clear" w:color="auto" w:fill="FFFFFF"/>
        </w:rPr>
        <w:t xml:space="preserve"> </w:t>
      </w:r>
    </w:p>
    <w:p w:rsidR="00617421" w:rsidRPr="005456D4" w:rsidRDefault="00617421" w:rsidP="00FE5928">
      <w:pPr>
        <w:pStyle w:val="Heading3"/>
      </w:pPr>
      <w:r w:rsidRPr="005456D4">
        <w:t>Did It Open Government?</w:t>
      </w:r>
    </w:p>
    <w:p w:rsidR="00617421" w:rsidRDefault="00617421" w:rsidP="005A0E5C">
      <w:pPr>
        <w:rPr>
          <w:b/>
          <w:color w:val="000000" w:themeColor="text1"/>
          <w:szCs w:val="22"/>
        </w:rPr>
      </w:pPr>
      <w:r w:rsidRPr="005456D4">
        <w:rPr>
          <w:b/>
          <w:color w:val="000000" w:themeColor="text1"/>
          <w:szCs w:val="22"/>
        </w:rPr>
        <w:t>Access to Information: Marginal</w:t>
      </w:r>
    </w:p>
    <w:p w:rsidR="00617421" w:rsidRPr="005456D4" w:rsidRDefault="00617421" w:rsidP="005A0E5C">
      <w:pPr>
        <w:rPr>
          <w:b/>
          <w:color w:val="000000" w:themeColor="text1"/>
          <w:szCs w:val="22"/>
        </w:rPr>
      </w:pPr>
    </w:p>
    <w:p w:rsidR="00F42E96" w:rsidRDefault="00617421" w:rsidP="005A0E5C">
      <w:pPr>
        <w:rPr>
          <w:color w:val="auto"/>
          <w:szCs w:val="22"/>
          <w:shd w:val="clear" w:color="auto" w:fill="FFFFFF"/>
        </w:rPr>
      </w:pPr>
      <w:r w:rsidRPr="005456D4">
        <w:rPr>
          <w:color w:val="auto"/>
          <w:szCs w:val="22"/>
          <w:shd w:val="clear" w:color="auto" w:fill="FFFFFF"/>
        </w:rPr>
        <w:t>The new electronic licensing system is not for public use since it requires the entry of username and password for registration, which should be obtained at the Agency of Mineral Resources. The system contributes to improving the service of i</w:t>
      </w:r>
      <w:r>
        <w:rPr>
          <w:color w:val="auto"/>
          <w:szCs w:val="22"/>
          <w:shd w:val="clear" w:color="auto" w:fill="FFFFFF"/>
        </w:rPr>
        <w:t>ssuing licenses in the field of</w:t>
      </w:r>
      <w:r w:rsidRPr="005456D4">
        <w:rPr>
          <w:color w:val="auto"/>
          <w:szCs w:val="22"/>
          <w:shd w:val="clear" w:color="auto" w:fill="FFFFFF"/>
        </w:rPr>
        <w:t xml:space="preserve"> natural resources and easing the flow of necessary documents between the Agency and the license seekers. </w:t>
      </w:r>
      <w:r w:rsidR="00F42E96">
        <w:rPr>
          <w:color w:val="auto"/>
          <w:szCs w:val="22"/>
          <w:shd w:val="clear" w:color="auto" w:fill="FFFFFF"/>
        </w:rPr>
        <w:t>T</w:t>
      </w:r>
      <w:r w:rsidRPr="005456D4">
        <w:rPr>
          <w:color w:val="auto"/>
          <w:szCs w:val="22"/>
          <w:shd w:val="clear" w:color="auto" w:fill="FFFFFF"/>
        </w:rPr>
        <w:t xml:space="preserve">he new geological portal, described above, is still under construction. Most of the data currently published is </w:t>
      </w:r>
      <w:r w:rsidR="00B7649C">
        <w:rPr>
          <w:color w:val="auto"/>
          <w:szCs w:val="22"/>
          <w:shd w:val="clear" w:color="auto" w:fill="FFFFFF"/>
        </w:rPr>
        <w:t xml:space="preserve">historical, </w:t>
      </w:r>
      <w:r w:rsidRPr="005456D4">
        <w:rPr>
          <w:color w:val="auto"/>
          <w:szCs w:val="22"/>
          <w:shd w:val="clear" w:color="auto" w:fill="FFFFFF"/>
        </w:rPr>
        <w:t xml:space="preserve">archived documents in Russian and in the scanned PDF form, which is not very useful for the reader. Finally, the Agency has not conducted any awareness-raising campaigns around its new portals. Neither has it tracked the number of users and the level of their satisfaction. </w:t>
      </w:r>
    </w:p>
    <w:p w:rsidR="00F42E96" w:rsidRDefault="00F42E96" w:rsidP="005A0E5C">
      <w:pPr>
        <w:rPr>
          <w:color w:val="auto"/>
          <w:szCs w:val="22"/>
          <w:shd w:val="clear" w:color="auto" w:fill="FFFFFF"/>
        </w:rPr>
      </w:pPr>
    </w:p>
    <w:p w:rsidR="00617421" w:rsidRPr="005456D4" w:rsidRDefault="00617421" w:rsidP="005A0E5C">
      <w:pPr>
        <w:rPr>
          <w:color w:val="auto"/>
          <w:szCs w:val="22"/>
          <w:shd w:val="clear" w:color="auto" w:fill="FFFFFF"/>
        </w:rPr>
      </w:pPr>
      <w:r>
        <w:rPr>
          <w:color w:val="auto"/>
          <w:szCs w:val="22"/>
          <w:shd w:val="clear" w:color="auto" w:fill="FFFFFF"/>
        </w:rPr>
        <w:t>On a positive note, the Agency</w:t>
      </w:r>
      <w:r w:rsidRPr="005456D4">
        <w:rPr>
          <w:color w:val="auto"/>
          <w:szCs w:val="22"/>
          <w:shd w:val="clear" w:color="auto" w:fill="FFFFFF"/>
        </w:rPr>
        <w:t xml:space="preserve"> created a Facebook page, on June 19, 2018, which contains infographics, maps, and characteristics of natural resources in various regions of Georgia as well as new developments in the work of the Agency and in the field in general. </w:t>
      </w:r>
      <w:r w:rsidR="00F42E96">
        <w:rPr>
          <w:color w:val="auto"/>
          <w:szCs w:val="22"/>
          <w:shd w:val="clear" w:color="auto" w:fill="FFFFFF"/>
        </w:rPr>
        <w:t xml:space="preserve">Some of this information was new to the public. </w:t>
      </w:r>
      <w:r>
        <w:rPr>
          <w:color w:val="auto"/>
          <w:szCs w:val="22"/>
          <w:shd w:val="clear" w:color="auto" w:fill="FFFFFF"/>
        </w:rPr>
        <w:t>Most of tho</w:t>
      </w:r>
      <w:r w:rsidRPr="005456D4">
        <w:rPr>
          <w:color w:val="auto"/>
          <w:szCs w:val="22"/>
          <w:shd w:val="clear" w:color="auto" w:fill="FFFFFF"/>
        </w:rPr>
        <w:t>se Facebook posts have been published since July, which falls outside of the reporting period. As of October, 1129 people have liked this new Facebook page while 1140 have followed it.</w:t>
      </w:r>
      <w:r w:rsidRPr="005456D4">
        <w:rPr>
          <w:rStyle w:val="EndnoteReference"/>
          <w:color w:val="auto"/>
          <w:szCs w:val="22"/>
          <w:shd w:val="clear" w:color="auto" w:fill="FFFFFF"/>
        </w:rPr>
        <w:endnoteReference w:id="20"/>
      </w:r>
      <w:r w:rsidRPr="005456D4">
        <w:rPr>
          <w:color w:val="auto"/>
          <w:szCs w:val="22"/>
          <w:shd w:val="clear" w:color="auto" w:fill="FFFFFF"/>
        </w:rPr>
        <w:t xml:space="preserve"> Based on this description, the commitment has led to only a marginal change in improving </w:t>
      </w:r>
      <w:r>
        <w:rPr>
          <w:color w:val="auto"/>
          <w:szCs w:val="22"/>
          <w:shd w:val="clear" w:color="auto" w:fill="FFFFFF"/>
        </w:rPr>
        <w:t xml:space="preserve">public </w:t>
      </w:r>
      <w:r w:rsidRPr="005456D4">
        <w:rPr>
          <w:color w:val="auto"/>
          <w:szCs w:val="22"/>
          <w:shd w:val="clear" w:color="auto" w:fill="FFFFFF"/>
        </w:rPr>
        <w:t xml:space="preserve">access to information in the field of natural resources. </w:t>
      </w:r>
    </w:p>
    <w:p w:rsidR="00617421" w:rsidRDefault="00617421" w:rsidP="00FE5928">
      <w:pPr>
        <w:pStyle w:val="Heading3"/>
      </w:pPr>
      <w:r w:rsidRPr="0010229D">
        <w:t xml:space="preserve">Carried </w:t>
      </w:r>
      <w:r w:rsidRPr="004B1C12">
        <w:t>F</w:t>
      </w:r>
      <w:r w:rsidRPr="0010229D">
        <w:t>orward?</w:t>
      </w:r>
    </w:p>
    <w:p w:rsidR="00617421" w:rsidRDefault="00647300" w:rsidP="008603EB">
      <w:pPr>
        <w:pStyle w:val="Normalrglronly"/>
        <w:rPr>
          <w:rFonts w:eastAsiaTheme="majorEastAsia"/>
          <w:b/>
          <w:bCs/>
          <w:color w:val="1F497D" w:themeColor="text2"/>
          <w:sz w:val="32"/>
          <w:szCs w:val="32"/>
        </w:rPr>
      </w:pPr>
      <w:r w:rsidRPr="00407534">
        <w:rPr>
          <w:color w:val="000000" w:themeColor="text1"/>
        </w:rPr>
        <w:t>The commitment was not carried into the new Action Plan 2018-20</w:t>
      </w:r>
      <w:r w:rsidR="00D76138">
        <w:rPr>
          <w:color w:val="000000" w:themeColor="text1"/>
        </w:rPr>
        <w:t>19</w:t>
      </w:r>
      <w:r w:rsidR="008654C0">
        <w:rPr>
          <w:color w:val="000000" w:themeColor="text1"/>
        </w:rPr>
        <w:t>.</w:t>
      </w:r>
      <w:r w:rsidR="00617421">
        <w:t xml:space="preserve"> </w:t>
      </w:r>
      <w:r w:rsidR="00F54C3D">
        <w:t xml:space="preserve">In line with the five key recommendations of the midterm report, the Georgian government could prioritize transparency of government contracts in </w:t>
      </w:r>
      <w:r w:rsidR="008654C0">
        <w:t xml:space="preserve">the </w:t>
      </w:r>
      <w:r w:rsidR="00F54C3D">
        <w:t xml:space="preserve">licensing of natural resources, privatization and public procurements in infrastructure projects. </w:t>
      </w:r>
      <w:r w:rsidR="00C75437">
        <w:t>Civil society representatives</w:t>
      </w:r>
      <w:r w:rsidR="00F54C3D">
        <w:t xml:space="preserve"> </w:t>
      </w:r>
      <w:r w:rsidR="008654C0">
        <w:t>recommend the adoption and use of the Open Contracting Data Standard in conjunction with stakeholder collaboration.</w:t>
      </w:r>
      <w:r w:rsidR="008654C0">
        <w:rPr>
          <w:rStyle w:val="EndnoteReference"/>
        </w:rPr>
        <w:endnoteReference w:id="21"/>
      </w:r>
      <w:bookmarkStart w:id="23" w:name="_Toc502917023"/>
      <w:r w:rsidR="00617421">
        <w:br w:type="page"/>
      </w:r>
    </w:p>
    <w:p w:rsidR="00617421" w:rsidRDefault="00617421" w:rsidP="004A7735">
      <w:pPr>
        <w:pStyle w:val="Heading2"/>
        <w:sectPr w:rsidR="00617421" w:rsidSect="007D25FE">
          <w:footnotePr>
            <w:numRestart w:val="eachSect"/>
          </w:footnotePr>
          <w:endnotePr>
            <w:numFmt w:val="decimal"/>
            <w:numRestart w:val="eachSect"/>
          </w:endnotePr>
          <w:pgSz w:w="11907" w:h="16839" w:code="9"/>
          <w:pgMar w:top="1417" w:right="1417" w:bottom="1417" w:left="1417" w:header="0" w:footer="0" w:gutter="0"/>
          <w:cols w:space="708"/>
          <w:docGrid w:linePitch="360"/>
        </w:sectPr>
      </w:pPr>
    </w:p>
    <w:p w:rsidR="00617421" w:rsidRDefault="00617421" w:rsidP="004A7735">
      <w:pPr>
        <w:pStyle w:val="Heading2"/>
      </w:pPr>
      <w:bookmarkStart w:id="24" w:name="_Toc409220376"/>
      <w:r>
        <w:lastRenderedPageBreak/>
        <w:t>4. Creation of spatial (geographic) data web-portal for the energy sector</w:t>
      </w:r>
      <w:bookmarkEnd w:id="23"/>
      <w:bookmarkEnd w:id="24"/>
    </w:p>
    <w:p w:rsidR="00617421" w:rsidRDefault="00617421" w:rsidP="00FB377B"/>
    <w:p w:rsidR="00617421" w:rsidRPr="00480EFE" w:rsidRDefault="00617421" w:rsidP="00FB377B">
      <w:pPr>
        <w:rPr>
          <w:b/>
        </w:rPr>
      </w:pPr>
      <w:r w:rsidRPr="00480EFE">
        <w:rPr>
          <w:b/>
        </w:rPr>
        <w:t xml:space="preserve">Commitment Text: </w:t>
      </w:r>
    </w:p>
    <w:p w:rsidR="00617421" w:rsidRDefault="00617421" w:rsidP="00FB377B">
      <w:pPr>
        <w:pStyle w:val="APQuotefeaturetol"/>
      </w:pPr>
      <w:r>
        <w:t>Geo-Information Systems (GIS) in the energy sector need development and further elaboration. There is no relevant software or united internet space where stakeholders can find information about the location of the energy objects and their various characteristics. This makes it difficult for interested stakeholders (investors among them) to obtain information in a timely manner; interest to implement various projects decreases, and projects are not developed efficiently.</w:t>
      </w:r>
    </w:p>
    <w:p w:rsidR="00617421" w:rsidRDefault="00617421" w:rsidP="00FB377B">
      <w:pPr>
        <w:pStyle w:val="APQuotefeaturetol"/>
      </w:pPr>
      <w:r>
        <w:t>In the framework of the given commitment, the Ministry of Energy shall create a publicly accessible electronic space to periodically update information about spatial data. The portal will enable stakeholders (both in the country and abroad) to remotely obtain information about the location of the energy objects and their characteristics. This will facilitate more efficient project implementation at the initial stage, as well as throughout the implementation process.</w:t>
      </w:r>
    </w:p>
    <w:p w:rsidR="00617421" w:rsidRDefault="00617421" w:rsidP="00505C1E">
      <w:pPr>
        <w:pStyle w:val="APQuotefeaturetol"/>
      </w:pPr>
      <w:r>
        <w:t>The commitment promotes improving principles of efficiency of governance, innovation and technologies.</w:t>
      </w:r>
    </w:p>
    <w:p w:rsidR="00617421" w:rsidRPr="00505C1E" w:rsidRDefault="00617421" w:rsidP="00FB377B">
      <w:pPr>
        <w:pStyle w:val="Normalrglronly"/>
      </w:pPr>
      <w:r w:rsidRPr="00505C1E">
        <w:t xml:space="preserve">Responsible institution: </w:t>
      </w:r>
      <w:r w:rsidRPr="00505C1E">
        <w:rPr>
          <w:noProof/>
        </w:rPr>
        <w:t>Ministry of Energy of Georgia</w:t>
      </w:r>
    </w:p>
    <w:p w:rsidR="00617421" w:rsidRPr="00505C1E" w:rsidRDefault="00617421" w:rsidP="00FB377B">
      <w:pPr>
        <w:pStyle w:val="Normalrglronly"/>
      </w:pPr>
      <w:r w:rsidRPr="00505C1E">
        <w:t xml:space="preserve">Supporting institution(s): </w:t>
      </w:r>
      <w:r w:rsidRPr="00505C1E">
        <w:rPr>
          <w:noProof/>
        </w:rPr>
        <w:t>None</w:t>
      </w:r>
    </w:p>
    <w:p w:rsidR="00617421" w:rsidRPr="00505C1E" w:rsidRDefault="00617421" w:rsidP="00505C1E">
      <w:pPr>
        <w:spacing w:after="120"/>
        <w:rPr>
          <w:szCs w:val="22"/>
        </w:rPr>
      </w:pPr>
      <w:r w:rsidRPr="00505C1E">
        <w:rPr>
          <w:szCs w:val="22"/>
        </w:rPr>
        <w:t>Start date: September 2016</w:t>
      </w:r>
      <w:r>
        <w:rPr>
          <w:szCs w:val="22"/>
        </w:rPr>
        <w:t xml:space="preserve">                                             </w:t>
      </w:r>
      <w:r w:rsidRPr="00505C1E">
        <w:rPr>
          <w:szCs w:val="22"/>
        </w:rPr>
        <w:t>End date: December 2017</w:t>
      </w:r>
    </w:p>
    <w:p w:rsidR="00617421" w:rsidRDefault="00617421" w:rsidP="00FB377B">
      <w:pPr>
        <w:rPr>
          <w:szCs w:val="22"/>
        </w:rPr>
      </w:pPr>
    </w:p>
    <w:tbl>
      <w:tblPr>
        <w:tblW w:w="10971"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780B24">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617421" w:rsidRPr="004B1C12" w:rsidTr="00780B24">
        <w:trPr>
          <w:trHeight w:val="600"/>
        </w:trPr>
        <w:tc>
          <w:tcPr>
            <w:tcW w:w="1596" w:type="dxa"/>
            <w:vMerge w:val="restart"/>
            <w:tcBorders>
              <w:top w:val="single" w:sz="18" w:space="0" w:color="FFFFFF"/>
              <w:left w:val="single" w:sz="4" w:space="0" w:color="FFFFFF"/>
            </w:tcBorders>
            <w:shd w:val="clear" w:color="auto" w:fill="000000"/>
            <w:vAlign w:val="center"/>
          </w:tcPr>
          <w:p w:rsidR="00617421" w:rsidRPr="0010229D" w:rsidRDefault="00617421" w:rsidP="00C60967">
            <w:pPr>
              <w:rPr>
                <w:color w:val="FFFFFF" w:themeColor="background1"/>
              </w:rPr>
            </w:pPr>
            <w:r w:rsidRPr="00050EE2">
              <w:rPr>
                <w:color w:val="FFFFFF" w:themeColor="background1"/>
              </w:rPr>
              <w:t>4. Spatial (geographic) data web-portal for the energy sector</w:t>
            </w:r>
          </w:p>
        </w:tc>
        <w:tc>
          <w:tcPr>
            <w:tcW w:w="445" w:type="dxa"/>
            <w:vMerge w:val="restart"/>
            <w:tcBorders>
              <w:top w:val="single" w:sz="18" w:space="0" w:color="FFFFFF"/>
              <w:right w:val="single" w:sz="2" w:space="0" w:color="FFFFFF"/>
            </w:tcBorders>
            <w:shd w:val="clear" w:color="auto" w:fill="D6E3BC"/>
            <w:vAlign w:val="center"/>
          </w:tcPr>
          <w:p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rsidR="00617421" w:rsidRPr="0010229D" w:rsidRDefault="00EF74D1" w:rsidP="00C60967">
            <w:r w:rsidRPr="0010229D">
              <w:rPr>
                <w:rFonts w:ascii="MS Mincho" w:eastAsia="MS Mincho" w:hAnsi="MS Mincho" w:cs="MS Mincho"/>
                <w:sz w:val="20"/>
              </w:rPr>
              <w:t>✔</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10229D" w:rsidRDefault="00617421" w:rsidP="00C60967"/>
        </w:tc>
      </w:tr>
      <w:tr w:rsidR="00617421" w:rsidRPr="004B1C12" w:rsidTr="00780B24">
        <w:trPr>
          <w:trHeight w:val="636"/>
        </w:trPr>
        <w:tc>
          <w:tcPr>
            <w:tcW w:w="1596" w:type="dxa"/>
            <w:vMerge/>
            <w:tcBorders>
              <w:left w:val="nil"/>
              <w:bottom w:val="single" w:sz="18" w:space="0" w:color="FFFFFF"/>
            </w:tcBorders>
            <w:shd w:val="clear" w:color="auto" w:fill="000000"/>
            <w:vAlign w:val="center"/>
          </w:tcPr>
          <w:p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rsidR="00617421" w:rsidRPr="0010229D" w:rsidRDefault="00617421" w:rsidP="00C60967"/>
        </w:tc>
      </w:tr>
    </w:tbl>
    <w:p w:rsidR="00617421" w:rsidRDefault="00617421" w:rsidP="00FB377B">
      <w:pPr>
        <w:rPr>
          <w:rFonts w:eastAsia="Times New Roman"/>
          <w:szCs w:val="22"/>
        </w:rPr>
      </w:pPr>
    </w:p>
    <w:p w:rsidR="00617421" w:rsidRDefault="00617421" w:rsidP="00FE5928">
      <w:pPr>
        <w:pStyle w:val="Heading3"/>
      </w:pPr>
      <w:r w:rsidRPr="0010229D">
        <w:t xml:space="preserve">Commitment </w:t>
      </w:r>
      <w:r w:rsidRPr="004B1C12">
        <w:t>A</w:t>
      </w:r>
      <w:r w:rsidRPr="0010229D">
        <w:t>im:</w:t>
      </w:r>
    </w:p>
    <w:p w:rsidR="00617421" w:rsidRDefault="00617421" w:rsidP="001A0062">
      <w:r w:rsidRPr="001A0062">
        <w:t>Georgian citizens have little information about the government’s energy projects including their location and characteristics. To address this, the Ministry of Energy committed to creating a publicly accessible online portal that would contain the missing data mentioned above</w:t>
      </w:r>
      <w:r>
        <w:t xml:space="preserve">. </w:t>
      </w:r>
      <w:r w:rsidRPr="001A0062">
        <w:rPr>
          <w:i/>
          <w:color w:val="4F81BD" w:themeColor="accent1"/>
        </w:rPr>
        <w:t xml:space="preserve"> </w:t>
      </w:r>
      <w:r>
        <w:rPr>
          <w:i/>
          <w:color w:val="4F81BD" w:themeColor="accent1"/>
        </w:rPr>
        <w:t xml:space="preserve"> </w:t>
      </w:r>
    </w:p>
    <w:p w:rsidR="00617421" w:rsidRPr="0010229D" w:rsidRDefault="00617421" w:rsidP="00FE5928">
      <w:pPr>
        <w:pStyle w:val="Heading3"/>
      </w:pPr>
      <w:r w:rsidRPr="0010229D">
        <w:t>Status</w:t>
      </w:r>
    </w:p>
    <w:p w:rsidR="00617421" w:rsidRDefault="00617421" w:rsidP="00050EE2">
      <w:pPr>
        <w:pStyle w:val="Normalrglronly"/>
        <w:rPr>
          <w:b/>
          <w:color w:val="000000" w:themeColor="text1"/>
        </w:rPr>
      </w:pPr>
      <w:r w:rsidRPr="004B1C12">
        <w:rPr>
          <w:b/>
        </w:rPr>
        <w:t xml:space="preserve">Midterm: </w:t>
      </w:r>
      <w:r w:rsidRPr="004B1C12">
        <w:rPr>
          <w:b/>
          <w:color w:val="000000" w:themeColor="text1"/>
        </w:rPr>
        <w:t>Limited</w:t>
      </w:r>
    </w:p>
    <w:p w:rsidR="00617421" w:rsidRPr="00AA58AD" w:rsidRDefault="00617421" w:rsidP="00050EE2">
      <w:pPr>
        <w:pStyle w:val="Normalrglronly"/>
        <w:rPr>
          <w:b/>
        </w:rPr>
      </w:pPr>
      <w:r w:rsidRPr="00A728F1">
        <w:lastRenderedPageBreak/>
        <w:t xml:space="preserve">At the mid-term point, the commitment saw limited implementation since the new energy portal was not launched. </w:t>
      </w:r>
      <w:r>
        <w:t xml:space="preserve">The Ministry </w:t>
      </w:r>
      <w:r w:rsidRPr="00A728F1">
        <w:t xml:space="preserve">created an internal working group, including relevant public agencies and state-owned energy companies, and reached a consensus as to what kind of information should be made available </w:t>
      </w:r>
      <w:r>
        <w:t xml:space="preserve">on the portal. The Ministry </w:t>
      </w:r>
      <w:r w:rsidRPr="00A728F1">
        <w:t xml:space="preserve">also identified energy companies </w:t>
      </w:r>
      <w:r>
        <w:t>under its jurisdiction that had</w:t>
      </w:r>
      <w:r w:rsidRPr="00A728F1">
        <w:t xml:space="preserve"> to provide data for the portal. The companies started sharing some of their data and the Ministry </w:t>
      </w:r>
      <w:r>
        <w:t xml:space="preserve">was </w:t>
      </w:r>
      <w:r w:rsidRPr="00A728F1">
        <w:t>in the process of analyzing this data</w:t>
      </w:r>
      <w:r>
        <w:rPr>
          <w:rFonts w:ascii="Sylfaen" w:hAnsi="Sylfaen"/>
          <w:lang w:val="ka-GE"/>
        </w:rPr>
        <w:t>.</w:t>
      </w:r>
      <w:r>
        <w:t xml:space="preserve"> </w:t>
      </w:r>
      <w:r w:rsidRPr="00AA58AD">
        <w:t xml:space="preserve">For more </w:t>
      </w:r>
      <w:r>
        <w:t>information, please see the 2016–2017</w:t>
      </w:r>
      <w:r w:rsidRPr="00AA58AD">
        <w:t xml:space="preserve"> IRM midterm report.</w:t>
      </w:r>
    </w:p>
    <w:p w:rsidR="00617421" w:rsidRPr="004B1C12" w:rsidRDefault="00617421" w:rsidP="00050EE2">
      <w:pPr>
        <w:pStyle w:val="Normalrglronly"/>
        <w:rPr>
          <w:b/>
          <w:color w:val="000000" w:themeColor="text1"/>
        </w:rPr>
      </w:pPr>
      <w:r w:rsidRPr="004B1C12">
        <w:rPr>
          <w:b/>
        </w:rPr>
        <w:t xml:space="preserve">End of term: </w:t>
      </w:r>
      <w:r>
        <w:rPr>
          <w:b/>
          <w:color w:val="000000" w:themeColor="text1"/>
        </w:rPr>
        <w:t>Limited</w:t>
      </w:r>
    </w:p>
    <w:p w:rsidR="00617421" w:rsidRPr="00AD4257" w:rsidRDefault="00617421" w:rsidP="00050EE2">
      <w:pPr>
        <w:pStyle w:val="Normalrglronly"/>
        <w:rPr>
          <w:rFonts w:ascii="Sylfaen" w:hAnsi="Sylfaen"/>
          <w:color w:val="auto"/>
          <w:shd w:val="clear" w:color="auto" w:fill="FFFFFF"/>
        </w:rPr>
      </w:pPr>
      <w:r>
        <w:rPr>
          <w:color w:val="auto"/>
          <w:shd w:val="clear" w:color="auto" w:fill="FFFFFF"/>
        </w:rPr>
        <w:t xml:space="preserve">Similar to the </w:t>
      </w:r>
      <w:r w:rsidRPr="006E3F2E">
        <w:rPr>
          <w:color w:val="auto"/>
          <w:shd w:val="clear" w:color="auto" w:fill="FFFFFF"/>
        </w:rPr>
        <w:t>Ministry of Environment and Natural Resources</w:t>
      </w:r>
      <w:r>
        <w:rPr>
          <w:color w:val="auto"/>
          <w:shd w:val="clear" w:color="auto" w:fill="FFFFFF"/>
        </w:rPr>
        <w:t xml:space="preserve">, the Ministry of Energy was also </w:t>
      </w:r>
      <w:r w:rsidR="00D76138">
        <w:rPr>
          <w:color w:val="auto"/>
          <w:shd w:val="clear" w:color="auto" w:fill="FFFFFF"/>
        </w:rPr>
        <w:t>dissolved</w:t>
      </w:r>
      <w:r>
        <w:rPr>
          <w:color w:val="auto"/>
          <w:shd w:val="clear" w:color="auto" w:fill="FFFFFF"/>
        </w:rPr>
        <w:t xml:space="preserve"> and its functions were transferred to the Ministry of Economy and Sustainable Development, according to t</w:t>
      </w:r>
      <w:r w:rsidRPr="006E3F2E">
        <w:rPr>
          <w:color w:val="auto"/>
          <w:shd w:val="clear" w:color="auto" w:fill="FFFFFF"/>
        </w:rPr>
        <w:t>h</w:t>
      </w:r>
      <w:r>
        <w:rPr>
          <w:color w:val="auto"/>
          <w:shd w:val="clear" w:color="auto" w:fill="FFFFFF"/>
        </w:rPr>
        <w:t>e December 2017 amendments.</w:t>
      </w:r>
      <w:r>
        <w:rPr>
          <w:rStyle w:val="EndnoteReference"/>
          <w:color w:val="auto"/>
          <w:shd w:val="clear" w:color="auto" w:fill="FFFFFF"/>
        </w:rPr>
        <w:endnoteReference w:id="22"/>
      </w:r>
      <w:r>
        <w:rPr>
          <w:color w:val="auto"/>
          <w:shd w:val="clear" w:color="auto" w:fill="FFFFFF"/>
        </w:rPr>
        <w:t xml:space="preserve"> This </w:t>
      </w:r>
      <w:r w:rsidR="00F26374">
        <w:rPr>
          <w:color w:val="auto"/>
          <w:shd w:val="clear" w:color="auto" w:fill="FFFFFF"/>
        </w:rPr>
        <w:t xml:space="preserve">government reorganization and restructuring </w:t>
      </w:r>
      <w:r>
        <w:rPr>
          <w:color w:val="auto"/>
          <w:shd w:val="clear" w:color="auto" w:fill="FFFFFF"/>
        </w:rPr>
        <w:t>hindered the smooth and prompt implementation of this commitment within the dates set out in the action plan. The Ministry of Economy and Sustainable Development plans to launch the unified energy portal on its website in the near future</w:t>
      </w:r>
      <w:r w:rsidR="00F42E96">
        <w:rPr>
          <w:color w:val="auto"/>
          <w:shd w:val="clear" w:color="auto" w:fill="FFFFFF"/>
        </w:rPr>
        <w:t>, but was unable to provide a more specific date</w:t>
      </w:r>
      <w:r>
        <w:rPr>
          <w:color w:val="auto"/>
          <w:shd w:val="clear" w:color="auto" w:fill="FFFFFF"/>
        </w:rPr>
        <w:t xml:space="preserve">. Among other data, this new portal would contain data on hydropower plants and renewable energy sources as well as the methodology used for </w:t>
      </w:r>
      <w:r>
        <w:t>selecting the energy objects for exploitation</w:t>
      </w:r>
      <w:r>
        <w:rPr>
          <w:color w:val="auto"/>
          <w:shd w:val="clear" w:color="auto" w:fill="FFFFFF"/>
        </w:rPr>
        <w:t>.</w:t>
      </w:r>
      <w:r>
        <w:rPr>
          <w:rStyle w:val="EndnoteReference"/>
          <w:color w:val="auto"/>
          <w:shd w:val="clear" w:color="auto" w:fill="FFFFFF"/>
        </w:rPr>
        <w:endnoteReference w:id="23"/>
      </w:r>
      <w:r>
        <w:rPr>
          <w:color w:val="auto"/>
          <w:shd w:val="clear" w:color="auto" w:fill="FFFFFF"/>
        </w:rPr>
        <w:t xml:space="preserve"> As of the reporting period, the energy-related data is scattered on the pre-existing portals of Georgian Oil and Gas Corporation (gas pipeline projects)</w:t>
      </w:r>
      <w:r>
        <w:rPr>
          <w:rStyle w:val="EndnoteReference"/>
          <w:color w:val="auto"/>
          <w:shd w:val="clear" w:color="auto" w:fill="FFFFFF"/>
        </w:rPr>
        <w:endnoteReference w:id="24"/>
      </w:r>
      <w:r>
        <w:rPr>
          <w:color w:val="auto"/>
          <w:shd w:val="clear" w:color="auto" w:fill="FFFFFF"/>
        </w:rPr>
        <w:t xml:space="preserve"> and the out-of-date portal of the then Ministry of Energy containing maps of hydropower plants, </w:t>
      </w:r>
      <w:r w:rsidRPr="00AD4257">
        <w:rPr>
          <w:color w:val="auto"/>
          <w:shd w:val="clear" w:color="auto" w:fill="FFFFFF"/>
        </w:rPr>
        <w:t>thermoelectric power statio</w:t>
      </w:r>
      <w:r>
        <w:rPr>
          <w:color w:val="auto"/>
          <w:shd w:val="clear" w:color="auto" w:fill="FFFFFF"/>
        </w:rPr>
        <w:t>ns, and companies extracting oil in Georgia.</w:t>
      </w:r>
      <w:r>
        <w:rPr>
          <w:rStyle w:val="EndnoteReference"/>
          <w:color w:val="auto"/>
          <w:shd w:val="clear" w:color="auto" w:fill="FFFFFF"/>
        </w:rPr>
        <w:endnoteReference w:id="25"/>
      </w:r>
      <w:r>
        <w:rPr>
          <w:color w:val="auto"/>
          <w:shd w:val="clear" w:color="auto" w:fill="FFFFFF"/>
        </w:rPr>
        <w:t xml:space="preserve"> </w:t>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rsidR="00617421" w:rsidRDefault="00617421" w:rsidP="00050EE2">
      <w:pPr>
        <w:rPr>
          <w:b/>
          <w:color w:val="000000" w:themeColor="text1"/>
        </w:rPr>
      </w:pPr>
      <w:r w:rsidRPr="004B1C12">
        <w:rPr>
          <w:b/>
          <w:color w:val="000000" w:themeColor="text1"/>
        </w:rPr>
        <w:t>Access to I</w:t>
      </w:r>
      <w:r>
        <w:rPr>
          <w:b/>
          <w:color w:val="000000" w:themeColor="text1"/>
        </w:rPr>
        <w:t xml:space="preserve">nformation: </w:t>
      </w:r>
      <w:r w:rsidRPr="00184E05">
        <w:rPr>
          <w:b/>
          <w:color w:val="000000" w:themeColor="text1"/>
        </w:rPr>
        <w:t>Did Not Change</w:t>
      </w:r>
      <w:r>
        <w:rPr>
          <w:b/>
          <w:color w:val="000000" w:themeColor="text1"/>
        </w:rPr>
        <w:t xml:space="preserve"> </w:t>
      </w:r>
    </w:p>
    <w:p w:rsidR="00617421" w:rsidRDefault="00617421" w:rsidP="00050EE2">
      <w:pPr>
        <w:rPr>
          <w:b/>
          <w:color w:val="000000" w:themeColor="text1"/>
        </w:rPr>
      </w:pPr>
    </w:p>
    <w:p w:rsidR="00617421" w:rsidRPr="004B1C12" w:rsidRDefault="00617421" w:rsidP="00050EE2">
      <w:pPr>
        <w:rPr>
          <w:b/>
          <w:color w:val="000000" w:themeColor="text1"/>
        </w:rPr>
      </w:pPr>
      <w:r>
        <w:rPr>
          <w:color w:val="auto"/>
          <w:shd w:val="clear" w:color="auto" w:fill="FFFFFF"/>
        </w:rPr>
        <w:t>As mentioned above, the government has not yet launched the unified and up-to-date energy portal for public use. The pre-existing portals contain limited and sometimes outdated information, only names and brief description</w:t>
      </w:r>
      <w:r w:rsidR="00DD6517">
        <w:rPr>
          <w:color w:val="auto"/>
          <w:shd w:val="clear" w:color="auto" w:fill="FFFFFF"/>
        </w:rPr>
        <w:t>s</w:t>
      </w:r>
      <w:r>
        <w:rPr>
          <w:color w:val="auto"/>
          <w:shd w:val="clear" w:color="auto" w:fill="FFFFFF"/>
        </w:rPr>
        <w:t xml:space="preserve"> of energy objects</w:t>
      </w:r>
      <w:r w:rsidR="006B7ECF">
        <w:rPr>
          <w:color w:val="auto"/>
          <w:shd w:val="clear" w:color="auto" w:fill="FFFFFF"/>
        </w:rPr>
        <w:t xml:space="preserve"> (energy generating and distributio</w:t>
      </w:r>
      <w:r w:rsidR="009346FC">
        <w:rPr>
          <w:color w:val="auto"/>
          <w:shd w:val="clear" w:color="auto" w:fill="FFFFFF"/>
        </w:rPr>
        <w:t>n facilities</w:t>
      </w:r>
      <w:r w:rsidR="006B7ECF">
        <w:rPr>
          <w:color w:val="auto"/>
          <w:shd w:val="clear" w:color="auto" w:fill="FFFFFF"/>
        </w:rPr>
        <w:t>)</w:t>
      </w:r>
      <w:r>
        <w:rPr>
          <w:color w:val="auto"/>
          <w:shd w:val="clear" w:color="auto" w:fill="FFFFFF"/>
        </w:rPr>
        <w:t xml:space="preserve"> and related projects, while the wider public is not aware of their existence. Therefore, the level of public access to information has not changed since the start of this commitment. </w:t>
      </w:r>
    </w:p>
    <w:p w:rsidR="00617421" w:rsidRDefault="00617421" w:rsidP="00FE5928">
      <w:pPr>
        <w:pStyle w:val="Heading3"/>
      </w:pPr>
      <w:r w:rsidRPr="0010229D">
        <w:t xml:space="preserve">Carried </w:t>
      </w:r>
      <w:r w:rsidRPr="004B1C12">
        <w:t>F</w:t>
      </w:r>
      <w:r w:rsidRPr="0010229D">
        <w:t>orward?</w:t>
      </w:r>
    </w:p>
    <w:p w:rsidR="00617421" w:rsidRDefault="00DD6517" w:rsidP="00453B2B">
      <w:pPr>
        <w:pStyle w:val="Normalrglronly"/>
      </w:pPr>
      <w:r w:rsidRPr="00407534">
        <w:rPr>
          <w:color w:val="000000" w:themeColor="text1"/>
        </w:rPr>
        <w:t>The commitment was not carried into the new Action Plan 2018-20</w:t>
      </w:r>
      <w:r w:rsidR="006B7ECF">
        <w:rPr>
          <w:color w:val="000000" w:themeColor="text1"/>
        </w:rPr>
        <w:t>19</w:t>
      </w:r>
      <w:r>
        <w:rPr>
          <w:color w:val="000000" w:themeColor="text1"/>
        </w:rPr>
        <w:t>.</w:t>
      </w:r>
      <w:r w:rsidR="00617421">
        <w:rPr>
          <w:lang w:val="en-GB"/>
        </w:rPr>
        <w:t xml:space="preserve"> </w:t>
      </w:r>
      <w:r w:rsidR="00D07D33">
        <w:t xml:space="preserve">In addition to </w:t>
      </w:r>
      <w:r w:rsidR="00617421">
        <w:t xml:space="preserve">publishing the methodology for the selection of energy </w:t>
      </w:r>
      <w:r w:rsidR="00D94748">
        <w:t xml:space="preserve">resources </w:t>
      </w:r>
      <w:r w:rsidR="00617421">
        <w:t xml:space="preserve">for exploitation, stakeholders also recommended </w:t>
      </w:r>
      <w:r w:rsidR="00D94748">
        <w:t xml:space="preserve">that </w:t>
      </w:r>
      <w:r w:rsidR="00617421">
        <w:t xml:space="preserve">the government disclose </w:t>
      </w:r>
      <w:r w:rsidR="00D07D33">
        <w:t>all relevant documents about the investment projects (</w:t>
      </w:r>
      <w:r w:rsidR="00617421">
        <w:t>terms of contracts</w:t>
      </w:r>
      <w:r w:rsidR="00D07D33">
        <w:t xml:space="preserve">, </w:t>
      </w:r>
      <w:r w:rsidR="00617421">
        <w:t>memos</w:t>
      </w:r>
      <w:r w:rsidR="00D07D33">
        <w:t>, detailed assessments of the projects’ impact on local climate, environment and population, etc)</w:t>
      </w:r>
      <w:r w:rsidR="00617421">
        <w:t xml:space="preserve">. </w:t>
      </w:r>
      <w:r w:rsidR="00D07D33">
        <w:t xml:space="preserve">The </w:t>
      </w:r>
      <w:r w:rsidR="00617421">
        <w:t xml:space="preserve">Ministry of Economy and Sustainable Development </w:t>
      </w:r>
      <w:r w:rsidR="006B7ECF">
        <w:t xml:space="preserve">could </w:t>
      </w:r>
      <w:r w:rsidR="00D07D33">
        <w:t xml:space="preserve">also </w:t>
      </w:r>
      <w:r w:rsidR="00617421">
        <w:t xml:space="preserve">involve citizens </w:t>
      </w:r>
      <w:r w:rsidR="00D94748">
        <w:t xml:space="preserve">in the </w:t>
      </w:r>
      <w:r w:rsidR="00617421">
        <w:t>initial phase</w:t>
      </w:r>
      <w:r w:rsidR="00D94748">
        <w:t>s</w:t>
      </w:r>
      <w:r w:rsidR="00617421">
        <w:t xml:space="preserve"> of decision-making regarding the exploitation of the energy </w:t>
      </w:r>
      <w:r w:rsidR="00D07D33">
        <w:t>resources</w:t>
      </w:r>
      <w:r w:rsidR="00617421">
        <w:t xml:space="preserve">. </w:t>
      </w:r>
    </w:p>
    <w:p w:rsidR="00617421" w:rsidRDefault="00617421">
      <w:pPr>
        <w:tabs>
          <w:tab w:val="clear" w:pos="2880"/>
        </w:tabs>
        <w:rPr>
          <w:rFonts w:eastAsiaTheme="majorEastAsia"/>
          <w:b/>
          <w:bCs/>
          <w:color w:val="1F497D" w:themeColor="text2"/>
          <w:sz w:val="32"/>
          <w:szCs w:val="32"/>
        </w:rPr>
      </w:pPr>
      <w:bookmarkStart w:id="25" w:name="_Toc502917024"/>
      <w:r>
        <w:br w:type="page"/>
      </w:r>
    </w:p>
    <w:p w:rsidR="00617421" w:rsidRDefault="00617421" w:rsidP="004A7735">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Default="00617421" w:rsidP="004A7735">
      <w:pPr>
        <w:pStyle w:val="Heading2"/>
      </w:pPr>
      <w:bookmarkStart w:id="26" w:name="_Toc409220377"/>
      <w:r>
        <w:lastRenderedPageBreak/>
        <w:t>5. Creation of innovation ecosystem</w:t>
      </w:r>
      <w:bookmarkEnd w:id="25"/>
      <w:bookmarkEnd w:id="26"/>
    </w:p>
    <w:p w:rsidR="00617421" w:rsidRDefault="00617421" w:rsidP="00A728F1"/>
    <w:p w:rsidR="00617421" w:rsidRPr="00D167D9" w:rsidRDefault="00617421" w:rsidP="00A728F1">
      <w:pPr>
        <w:rPr>
          <w:b/>
        </w:rPr>
      </w:pPr>
      <w:r w:rsidRPr="00D167D9">
        <w:rPr>
          <w:b/>
        </w:rPr>
        <w:t xml:space="preserve">Commitment Text: </w:t>
      </w:r>
    </w:p>
    <w:p w:rsidR="00617421" w:rsidRDefault="00617421" w:rsidP="00A728F1">
      <w:pPr>
        <w:pStyle w:val="APQuotefeaturetol"/>
      </w:pPr>
      <w:r>
        <w:t>An idea to take commitment on creating innovation ecosystem derives from the research prepared by the World Bank.</w:t>
      </w:r>
    </w:p>
    <w:p w:rsidR="00617421" w:rsidRDefault="00617421" w:rsidP="00A728F1">
      <w:pPr>
        <w:pStyle w:val="APQuotefeaturetol"/>
      </w:pPr>
      <w:r>
        <w:t>In order to create an innovation ecosystem, it is important to have a complex infrastructure that would inspire forming innovative society and the knowledge-based economy.</w:t>
      </w:r>
    </w:p>
    <w:p w:rsidR="00617421" w:rsidRDefault="00617421" w:rsidP="00A728F1">
      <w:pPr>
        <w:pStyle w:val="APQuotefeaturetol"/>
      </w:pPr>
      <w:r>
        <w:t>By taking the two-component commitment in the framework of this Action Plan, Georgia’s Innovation and Technology Agency (hereinafter, GITA) aims to create easier citizen access to the modern high-tech units, computer technologies and high-speed internet. This will develop computer literacy in the society and relevant skills for business commercialization.</w:t>
      </w:r>
    </w:p>
    <w:p w:rsidR="00617421" w:rsidRDefault="00617421" w:rsidP="00A728F1">
      <w:pPr>
        <w:pStyle w:val="APQuotefeaturetol"/>
      </w:pPr>
      <w:r w:rsidRPr="0053048F">
        <w:rPr>
          <w:b/>
        </w:rPr>
        <w:t>Component I</w:t>
      </w:r>
      <w:r>
        <w:t xml:space="preserve"> – Innovation Agency plans to develop the innovation infrastructure (techno-park) currently available in the capital city and create additional innovation infrastructure in other Georgian regions through financial assistance from the World Bank. The development of innovation infrastructure envisages: 1. Development of innovation infrastructure currently available in the capital; 2. Establishment of regional innovation hubs in the big cities; 3. Establishment of innovation centers (innovation centers will be established on the basis of the available infrastructure (libraries, educational institutions) in close cooperation and with active participation of the municipalitites in the countryside); 4. Increase access to internet in the regions. To measure the results, IT-based beneficiary management system will be developed.</w:t>
      </w:r>
    </w:p>
    <w:p w:rsidR="00617421" w:rsidRDefault="00617421" w:rsidP="00A728F1">
      <w:pPr>
        <w:pStyle w:val="APQuotefeaturetol"/>
      </w:pPr>
      <w:r>
        <w:t>A regional innovation hub (center) is a mini-technopark. One regional hub will be established in a big city of a region, which will be connected to a number of district innovation centers. The location of innovation centers will be selected based on the preliminary researches. These hubs will provide various training services. Based on the findings of the skills feasibility study, trainings will be conducted in response to the needs of a particular location. In addition to educational service, the innovation centers will have meeting-rooms to conduct meetings, presentations or monitoring on various topics. The services will be delivered free of charge.</w:t>
      </w:r>
    </w:p>
    <w:p w:rsidR="00617421" w:rsidRDefault="00617421" w:rsidP="00505C1E">
      <w:pPr>
        <w:pStyle w:val="APQuotefeaturetol"/>
      </w:pPr>
      <w:r w:rsidRPr="0053048F">
        <w:rPr>
          <w:b/>
        </w:rPr>
        <w:t>Component II</w:t>
      </w:r>
      <w:r>
        <w:t xml:space="preserve"> – Provides population with increased access to innovation services by conducting trainings, Olympiads, distant learning, consulting services, improves basic computer literacy and relevant skills of individuals and entrepreneurs. </w:t>
      </w:r>
    </w:p>
    <w:p w:rsidR="00617421" w:rsidRPr="00505C1E" w:rsidRDefault="00617421" w:rsidP="00A728F1">
      <w:pPr>
        <w:pStyle w:val="Normalrglronly"/>
      </w:pPr>
      <w:r w:rsidRPr="00505C1E">
        <w:t xml:space="preserve">Responsible institution: </w:t>
      </w:r>
      <w:r w:rsidRPr="00505C1E">
        <w:rPr>
          <w:noProof/>
        </w:rPr>
        <w:t>LEPL – Innovation and Technology Agency, Ministry of Economy and Sustainable Development of Georgia</w:t>
      </w:r>
    </w:p>
    <w:p w:rsidR="00617421" w:rsidRPr="00505C1E" w:rsidRDefault="00617421" w:rsidP="00A728F1">
      <w:pPr>
        <w:pStyle w:val="Normalrglronly"/>
      </w:pPr>
      <w:r w:rsidRPr="00505C1E">
        <w:t xml:space="preserve">Supporting institution(s): </w:t>
      </w:r>
      <w:r w:rsidRPr="00505C1E">
        <w:rPr>
          <w:noProof/>
        </w:rPr>
        <w:t>Advisory Body of Georgian Government – Research and Innovation Council, The World Bank</w:t>
      </w:r>
    </w:p>
    <w:p w:rsidR="00617421" w:rsidRPr="00505C1E" w:rsidRDefault="00617421" w:rsidP="00505C1E">
      <w:pPr>
        <w:spacing w:after="120"/>
        <w:rPr>
          <w:szCs w:val="22"/>
        </w:rPr>
      </w:pPr>
      <w:r w:rsidRPr="00505C1E">
        <w:rPr>
          <w:szCs w:val="22"/>
        </w:rPr>
        <w:t>Start date: June 2015</w:t>
      </w:r>
      <w:r>
        <w:rPr>
          <w:szCs w:val="22"/>
        </w:rPr>
        <w:t xml:space="preserve">                             </w:t>
      </w:r>
      <w:r>
        <w:rPr>
          <w:szCs w:val="22"/>
        </w:rPr>
        <w:tab/>
      </w:r>
      <w:r w:rsidRPr="00505C1E">
        <w:rPr>
          <w:szCs w:val="22"/>
        </w:rPr>
        <w:t>End date: December 2017</w:t>
      </w:r>
    </w:p>
    <w:p w:rsidR="00617421" w:rsidRDefault="00617421" w:rsidP="00A728F1">
      <w:pPr>
        <w:rPr>
          <w:szCs w:val="22"/>
        </w:rPr>
      </w:pPr>
    </w:p>
    <w:tbl>
      <w:tblPr>
        <w:tblW w:w="10971"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780B24">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7D25FE" w:rsidRPr="004B1C12" w:rsidTr="00780B24">
        <w:trPr>
          <w:trHeight w:val="300"/>
        </w:trPr>
        <w:tc>
          <w:tcPr>
            <w:tcW w:w="1596" w:type="dxa"/>
            <w:vMerge w:val="restart"/>
            <w:tcBorders>
              <w:top w:val="single" w:sz="18" w:space="0" w:color="FFFFFF"/>
              <w:left w:val="single" w:sz="4" w:space="0" w:color="FFFFFF"/>
            </w:tcBorders>
            <w:shd w:val="clear" w:color="auto" w:fill="000000"/>
            <w:vAlign w:val="center"/>
          </w:tcPr>
          <w:p w:rsidR="007D25FE" w:rsidRPr="0010229D" w:rsidRDefault="007D25FE" w:rsidP="00C60967">
            <w:pPr>
              <w:rPr>
                <w:color w:val="FFFFFF" w:themeColor="background1"/>
              </w:rPr>
            </w:pPr>
            <w:r w:rsidRPr="00A728F1">
              <w:rPr>
                <w:color w:val="FFFFFF" w:themeColor="background1"/>
              </w:rPr>
              <w:t>5. Innovation ecosystem</w:t>
            </w:r>
          </w:p>
        </w:tc>
        <w:tc>
          <w:tcPr>
            <w:tcW w:w="445" w:type="dxa"/>
            <w:vMerge w:val="restart"/>
            <w:tcBorders>
              <w:top w:val="single" w:sz="18" w:space="0" w:color="FFFFFF"/>
              <w:right w:val="single" w:sz="2" w:space="0" w:color="FFFFFF"/>
            </w:tcBorders>
            <w:shd w:val="clear" w:color="auto" w:fill="D6E3BC"/>
            <w:vAlign w:val="center"/>
          </w:tcPr>
          <w:p w:rsidR="007D25FE" w:rsidRPr="0010229D" w:rsidRDefault="007D25FE"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7D25FE" w:rsidRPr="0010229D" w:rsidRDefault="007D25FE"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7D25FE" w:rsidRPr="0010229D" w:rsidRDefault="007D25FE"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7D25FE" w:rsidRPr="0010229D" w:rsidRDefault="007D25FE" w:rsidP="00C60967"/>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rsidR="007D25FE" w:rsidRPr="00A728F1" w:rsidRDefault="007D25FE" w:rsidP="00C60967">
            <w:pPr>
              <w:jc w:val="center"/>
              <w:rPr>
                <w:rFonts w:ascii="Gill Sans MT" w:hAnsi="Gill Sans MT"/>
              </w:rPr>
            </w:pPr>
            <w:r>
              <w:rPr>
                <w:rFonts w:ascii="Gill Sans MT" w:hAnsi="Gill Sans MT"/>
              </w:rP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7D25FE" w:rsidRPr="0010229D" w:rsidRDefault="007D25FE"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7D25FE" w:rsidRPr="0010229D" w:rsidRDefault="007D25FE"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7D25FE" w:rsidRPr="0010229D" w:rsidRDefault="007D25FE"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7D25FE" w:rsidRPr="0010229D" w:rsidRDefault="007D25FE" w:rsidP="00C60967"/>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7D25FE" w:rsidRPr="0010229D" w:rsidRDefault="007D25FE"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7D25FE" w:rsidRPr="0010229D" w:rsidRDefault="007D25FE" w:rsidP="00C60967">
            <w:r w:rsidRPr="0010229D">
              <w:rPr>
                <w:rFonts w:ascii="MS Mincho" w:eastAsia="MS Mincho" w:hAnsi="MS Mincho" w:cs="MS Mincho"/>
                <w:sz w:val="20"/>
              </w:rPr>
              <w:t>✔</w:t>
            </w:r>
          </w:p>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7D25FE" w:rsidRPr="0010229D" w:rsidRDefault="007D25FE" w:rsidP="00C60967"/>
        </w:tc>
        <w:tc>
          <w:tcPr>
            <w:tcW w:w="461" w:type="dxa"/>
            <w:vMerge w:val="restart"/>
            <w:tcBorders>
              <w:top w:val="single" w:sz="18" w:space="0" w:color="FFFFFF"/>
              <w:left w:val="single" w:sz="4" w:space="0" w:color="FFFFFF" w:themeColor="background1"/>
              <w:right w:val="single" w:sz="18" w:space="0" w:color="FFFFFF"/>
            </w:tcBorders>
            <w:shd w:val="clear" w:color="auto" w:fill="B8CCE4"/>
            <w:vAlign w:val="center"/>
          </w:tcPr>
          <w:p w:rsidR="007D25FE" w:rsidRPr="0010229D" w:rsidRDefault="007D25FE"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7D25FE" w:rsidRPr="0010229D" w:rsidRDefault="007D25FE"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7D25FE" w:rsidRPr="0010229D" w:rsidRDefault="007D25FE"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7D25FE" w:rsidRPr="0010229D" w:rsidRDefault="007D25FE"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7D25FE" w:rsidRPr="0010229D" w:rsidRDefault="007D25FE" w:rsidP="00C60967"/>
        </w:tc>
        <w:tc>
          <w:tcPr>
            <w:tcW w:w="343" w:type="dxa"/>
            <w:vMerge w:val="restart"/>
            <w:tcBorders>
              <w:top w:val="single" w:sz="18" w:space="0" w:color="FFFFFF"/>
              <w:left w:val="single" w:sz="2" w:space="0" w:color="FFFFFF"/>
              <w:right w:val="single" w:sz="18" w:space="0" w:color="FFFFFF"/>
            </w:tcBorders>
            <w:shd w:val="clear" w:color="auto" w:fill="D99594"/>
          </w:tcPr>
          <w:p w:rsidR="007D25FE" w:rsidRPr="0010229D" w:rsidRDefault="007D25FE" w:rsidP="00C60967"/>
        </w:tc>
      </w:tr>
      <w:tr w:rsidR="007D25FE" w:rsidRPr="004B1C12" w:rsidTr="00780B24">
        <w:trPr>
          <w:trHeight w:val="300"/>
        </w:trPr>
        <w:tc>
          <w:tcPr>
            <w:tcW w:w="1596" w:type="dxa"/>
            <w:vMerge/>
            <w:tcBorders>
              <w:left w:val="single" w:sz="4" w:space="0" w:color="FFFFFF"/>
            </w:tcBorders>
            <w:shd w:val="clear" w:color="auto" w:fill="000000"/>
            <w:vAlign w:val="center"/>
          </w:tcPr>
          <w:p w:rsidR="007D25FE" w:rsidRPr="00A728F1" w:rsidRDefault="007D25FE" w:rsidP="00C60967">
            <w:pPr>
              <w:rPr>
                <w:color w:val="FFFFFF" w:themeColor="background1"/>
              </w:rPr>
            </w:pPr>
          </w:p>
        </w:tc>
        <w:tc>
          <w:tcPr>
            <w:tcW w:w="445" w:type="dxa"/>
            <w:vMerge/>
            <w:tcBorders>
              <w:right w:val="single" w:sz="2" w:space="0" w:color="FFFFFF"/>
            </w:tcBorders>
            <w:shd w:val="clear" w:color="auto" w:fill="D6E3BC"/>
            <w:vAlign w:val="center"/>
          </w:tcPr>
          <w:p w:rsidR="007D25FE" w:rsidRPr="0010229D" w:rsidRDefault="007D25FE" w:rsidP="00C60967"/>
        </w:tc>
        <w:tc>
          <w:tcPr>
            <w:tcW w:w="451" w:type="dxa"/>
            <w:vMerge/>
            <w:tcBorders>
              <w:left w:val="single" w:sz="2" w:space="0" w:color="FFFFFF"/>
              <w:right w:val="single" w:sz="2" w:space="0" w:color="FFFFFF"/>
            </w:tcBorders>
            <w:shd w:val="clear" w:color="auto" w:fill="D6E3BC"/>
            <w:vAlign w:val="center"/>
          </w:tcPr>
          <w:p w:rsidR="007D25FE" w:rsidRPr="0010229D" w:rsidRDefault="007D25FE" w:rsidP="00C60967"/>
        </w:tc>
        <w:tc>
          <w:tcPr>
            <w:tcW w:w="362" w:type="dxa"/>
            <w:vMerge/>
            <w:tcBorders>
              <w:left w:val="single" w:sz="2" w:space="0" w:color="FFFFFF"/>
              <w:right w:val="single" w:sz="2" w:space="0" w:color="FFFFFF"/>
            </w:tcBorders>
            <w:shd w:val="clear" w:color="auto" w:fill="D6E3BC"/>
            <w:vAlign w:val="center"/>
          </w:tcPr>
          <w:p w:rsidR="007D25FE" w:rsidRPr="0010229D" w:rsidRDefault="007D25FE" w:rsidP="00C60967">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rsidR="007D25FE" w:rsidRPr="0010229D" w:rsidRDefault="007D25FE" w:rsidP="00C60967"/>
        </w:tc>
        <w:tc>
          <w:tcPr>
            <w:tcW w:w="1992" w:type="dxa"/>
            <w:gridSpan w:val="4"/>
            <w:vMerge/>
            <w:tcBorders>
              <w:left w:val="single" w:sz="2" w:space="0" w:color="FFFFFF"/>
              <w:right w:val="single" w:sz="18" w:space="0" w:color="FFFFFF"/>
            </w:tcBorders>
            <w:shd w:val="clear" w:color="auto" w:fill="FBD4B4"/>
            <w:vAlign w:val="center"/>
          </w:tcPr>
          <w:p w:rsidR="007D25FE" w:rsidRDefault="007D25FE" w:rsidP="00C60967">
            <w:pPr>
              <w:jc w:val="center"/>
              <w:rPr>
                <w:rFonts w:ascii="Gill Sans MT" w:hAnsi="Gill Sans MT"/>
              </w:rPr>
            </w:pPr>
          </w:p>
        </w:tc>
        <w:tc>
          <w:tcPr>
            <w:tcW w:w="450" w:type="dxa"/>
            <w:vMerge/>
            <w:tcBorders>
              <w:left w:val="single" w:sz="18" w:space="0" w:color="FFFFFF"/>
              <w:right w:val="single" w:sz="2" w:space="0" w:color="FFFFFF"/>
            </w:tcBorders>
            <w:shd w:val="clear" w:color="auto" w:fill="CCC0D9"/>
            <w:vAlign w:val="center"/>
          </w:tcPr>
          <w:p w:rsidR="007D25FE" w:rsidRPr="0010229D" w:rsidRDefault="007D25FE" w:rsidP="00C60967"/>
        </w:tc>
        <w:tc>
          <w:tcPr>
            <w:tcW w:w="360" w:type="dxa"/>
            <w:vMerge/>
            <w:tcBorders>
              <w:left w:val="single" w:sz="2" w:space="0" w:color="FFFFFF"/>
              <w:right w:val="single" w:sz="2" w:space="0" w:color="FFFFFF"/>
            </w:tcBorders>
            <w:shd w:val="clear" w:color="auto" w:fill="CCC0D9"/>
            <w:vAlign w:val="center"/>
          </w:tcPr>
          <w:p w:rsidR="007D25FE" w:rsidRPr="0010229D" w:rsidRDefault="007D25FE" w:rsidP="00C60967"/>
        </w:tc>
        <w:tc>
          <w:tcPr>
            <w:tcW w:w="450" w:type="dxa"/>
            <w:vMerge/>
            <w:tcBorders>
              <w:left w:val="single" w:sz="2" w:space="0" w:color="FFFFFF"/>
              <w:right w:val="single" w:sz="2" w:space="0" w:color="FFFFFF"/>
            </w:tcBorders>
            <w:shd w:val="clear" w:color="auto" w:fill="CCC0D9"/>
            <w:vAlign w:val="center"/>
          </w:tcPr>
          <w:p w:rsidR="007D25FE" w:rsidRPr="0010229D" w:rsidRDefault="007D25FE" w:rsidP="00C60967">
            <w:pPr>
              <w:rPr>
                <w:rFonts w:ascii="MS Mincho" w:eastAsia="MS Mincho" w:hAnsi="MS Mincho" w:cs="MS Mincho"/>
                <w:sz w:val="20"/>
              </w:rPr>
            </w:pPr>
          </w:p>
        </w:tc>
        <w:tc>
          <w:tcPr>
            <w:tcW w:w="360" w:type="dxa"/>
            <w:vMerge/>
            <w:tcBorders>
              <w:left w:val="single" w:sz="2" w:space="0" w:color="FFFFFF"/>
              <w:right w:val="single" w:sz="18" w:space="0" w:color="FFFFFF"/>
            </w:tcBorders>
            <w:shd w:val="clear" w:color="auto" w:fill="CCC0D9"/>
            <w:vAlign w:val="center"/>
          </w:tcPr>
          <w:p w:rsidR="007D25FE" w:rsidRPr="0010229D" w:rsidRDefault="007D25FE" w:rsidP="00C60967"/>
        </w:tc>
        <w:tc>
          <w:tcPr>
            <w:tcW w:w="540" w:type="dxa"/>
            <w:vMerge/>
            <w:tcBorders>
              <w:left w:val="single" w:sz="18" w:space="0" w:color="FFFFFF"/>
              <w:right w:val="single" w:sz="4" w:space="0" w:color="FFFFFF" w:themeColor="background1"/>
            </w:tcBorders>
            <w:shd w:val="clear" w:color="auto" w:fill="B8CCE4"/>
            <w:vAlign w:val="center"/>
          </w:tcPr>
          <w:p w:rsidR="007D25FE" w:rsidRPr="0010229D" w:rsidRDefault="007D25FE"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7D25FE" w:rsidRPr="0010229D" w:rsidRDefault="00591F55" w:rsidP="00C60967">
            <w:pPr>
              <w:rPr>
                <w:rFonts w:ascii="MS Mincho" w:eastAsia="MS Mincho" w:hAnsi="MS Mincho" w:cs="MS Mincho"/>
                <w:sz w:val="20"/>
              </w:rPr>
            </w:pPr>
            <w:r w:rsidRPr="0010229D">
              <w:rPr>
                <w:rFonts w:ascii="MS Mincho" w:eastAsia="MS Mincho" w:hAnsi="MS Mincho" w:cs="MS Mincho"/>
                <w:sz w:val="20"/>
              </w:rPr>
              <w:t>✔</w:t>
            </w:r>
          </w:p>
        </w:tc>
        <w:tc>
          <w:tcPr>
            <w:tcW w:w="630" w:type="dxa"/>
            <w:vMerge/>
            <w:tcBorders>
              <w:left w:val="single" w:sz="4" w:space="0" w:color="FFFFFF" w:themeColor="background1"/>
              <w:right w:val="single" w:sz="4" w:space="0" w:color="FFFFFF" w:themeColor="background1"/>
            </w:tcBorders>
            <w:shd w:val="clear" w:color="auto" w:fill="B8CCE4"/>
            <w:vAlign w:val="center"/>
          </w:tcPr>
          <w:p w:rsidR="007D25FE" w:rsidRPr="0010229D" w:rsidRDefault="007D25FE" w:rsidP="00C60967"/>
        </w:tc>
        <w:tc>
          <w:tcPr>
            <w:tcW w:w="461" w:type="dxa"/>
            <w:vMerge/>
            <w:tcBorders>
              <w:left w:val="single" w:sz="4" w:space="0" w:color="FFFFFF" w:themeColor="background1"/>
              <w:right w:val="single" w:sz="18" w:space="0" w:color="FFFFFF"/>
            </w:tcBorders>
            <w:shd w:val="clear" w:color="auto" w:fill="B8CCE4"/>
            <w:vAlign w:val="center"/>
          </w:tcPr>
          <w:p w:rsidR="007D25FE" w:rsidRPr="0010229D" w:rsidRDefault="007D25FE" w:rsidP="00C60967"/>
        </w:tc>
        <w:tc>
          <w:tcPr>
            <w:tcW w:w="360" w:type="dxa"/>
            <w:vMerge/>
            <w:tcBorders>
              <w:left w:val="single" w:sz="18" w:space="0" w:color="FFFFFF"/>
              <w:right w:val="single" w:sz="2" w:space="0" w:color="FFFFFF"/>
            </w:tcBorders>
            <w:shd w:val="clear" w:color="auto" w:fill="D99594"/>
            <w:vAlign w:val="center"/>
          </w:tcPr>
          <w:p w:rsidR="007D25FE" w:rsidRPr="0010229D" w:rsidRDefault="007D25FE" w:rsidP="00C60967"/>
        </w:tc>
        <w:tc>
          <w:tcPr>
            <w:tcW w:w="540" w:type="dxa"/>
            <w:vMerge/>
            <w:tcBorders>
              <w:left w:val="single" w:sz="2" w:space="0" w:color="FFFFFF"/>
              <w:right w:val="single" w:sz="2" w:space="0" w:color="FFFFFF"/>
            </w:tcBorders>
            <w:shd w:val="clear" w:color="auto" w:fill="D99594"/>
            <w:vAlign w:val="center"/>
          </w:tcPr>
          <w:p w:rsidR="007D25FE" w:rsidRPr="0010229D" w:rsidRDefault="007D25FE" w:rsidP="00C60967">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rsidR="007D25FE" w:rsidRPr="0010229D" w:rsidRDefault="007D25FE" w:rsidP="00C60967"/>
        </w:tc>
        <w:tc>
          <w:tcPr>
            <w:tcW w:w="342" w:type="dxa"/>
            <w:vMerge/>
            <w:tcBorders>
              <w:left w:val="single" w:sz="2" w:space="0" w:color="FFFFFF"/>
              <w:right w:val="single" w:sz="2" w:space="0" w:color="FFFFFF"/>
            </w:tcBorders>
            <w:shd w:val="clear" w:color="auto" w:fill="D99594"/>
            <w:vAlign w:val="center"/>
          </w:tcPr>
          <w:p w:rsidR="007D25FE" w:rsidRPr="0010229D" w:rsidRDefault="007D25FE" w:rsidP="00C60967"/>
        </w:tc>
        <w:tc>
          <w:tcPr>
            <w:tcW w:w="343" w:type="dxa"/>
            <w:vMerge/>
            <w:tcBorders>
              <w:left w:val="single" w:sz="2" w:space="0" w:color="FFFFFF"/>
              <w:right w:val="single" w:sz="18" w:space="0" w:color="FFFFFF"/>
            </w:tcBorders>
            <w:shd w:val="clear" w:color="auto" w:fill="D99594"/>
          </w:tcPr>
          <w:p w:rsidR="007D25FE" w:rsidRPr="0010229D" w:rsidRDefault="007D25FE" w:rsidP="00C60967"/>
        </w:tc>
      </w:tr>
      <w:tr w:rsidR="007D25FE" w:rsidRPr="004B1C12" w:rsidTr="00780B24">
        <w:trPr>
          <w:trHeight w:val="636"/>
        </w:trPr>
        <w:tc>
          <w:tcPr>
            <w:tcW w:w="1596" w:type="dxa"/>
            <w:vMerge/>
            <w:tcBorders>
              <w:left w:val="single" w:sz="4" w:space="0" w:color="FFFFFF"/>
              <w:bottom w:val="single" w:sz="18" w:space="0" w:color="FFFFFF"/>
            </w:tcBorders>
            <w:shd w:val="clear" w:color="auto" w:fill="000000"/>
            <w:vAlign w:val="center"/>
          </w:tcPr>
          <w:p w:rsidR="007D25FE" w:rsidRPr="0010229D" w:rsidRDefault="007D25FE" w:rsidP="00C60967"/>
        </w:tc>
        <w:tc>
          <w:tcPr>
            <w:tcW w:w="445" w:type="dxa"/>
            <w:vMerge/>
            <w:tcBorders>
              <w:bottom w:val="single" w:sz="18" w:space="0" w:color="FFFFFF"/>
              <w:right w:val="single" w:sz="2" w:space="0" w:color="FFFFFF"/>
            </w:tcBorders>
            <w:shd w:val="clear" w:color="auto" w:fill="D6E3BC"/>
            <w:vAlign w:val="center"/>
          </w:tcPr>
          <w:p w:rsidR="007D25FE" w:rsidRPr="0010229D" w:rsidRDefault="007D25FE"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7D25FE" w:rsidRPr="0010229D" w:rsidRDefault="007D25FE"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7D25FE" w:rsidRPr="0010229D" w:rsidRDefault="007D25FE"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7D25FE" w:rsidRPr="0010229D" w:rsidRDefault="007D25FE" w:rsidP="00C60967"/>
        </w:tc>
        <w:tc>
          <w:tcPr>
            <w:tcW w:w="1992" w:type="dxa"/>
            <w:gridSpan w:val="4"/>
            <w:vMerge/>
            <w:tcBorders>
              <w:left w:val="single" w:sz="2" w:space="0" w:color="FFFFFF"/>
              <w:bottom w:val="single" w:sz="18" w:space="0" w:color="FFFFFF"/>
              <w:right w:val="single" w:sz="18" w:space="0" w:color="FFFFFF"/>
            </w:tcBorders>
            <w:shd w:val="clear" w:color="auto" w:fill="FBD4B4"/>
            <w:vAlign w:val="center"/>
          </w:tcPr>
          <w:p w:rsidR="007D25FE" w:rsidRPr="0010229D" w:rsidRDefault="007D25FE"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rsidR="007D25FE" w:rsidRPr="0010229D" w:rsidRDefault="007D25FE"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rsidR="007D25FE" w:rsidRPr="0010229D" w:rsidRDefault="007D25FE"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7D25FE" w:rsidRPr="0010229D" w:rsidRDefault="007D25FE"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7D25FE" w:rsidRPr="0010229D" w:rsidRDefault="007D25FE"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7D25FE" w:rsidRPr="0010229D" w:rsidRDefault="007D25FE"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7D25FE" w:rsidRPr="0010229D" w:rsidRDefault="007D25FE"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rsidR="007D25FE" w:rsidRPr="0010229D" w:rsidRDefault="007D25FE"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rsidR="007D25FE" w:rsidRPr="0010229D" w:rsidRDefault="007D25FE"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rsidR="007D25FE" w:rsidRPr="0010229D" w:rsidRDefault="007D25FE"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rsidR="007D25FE" w:rsidRPr="0010229D" w:rsidRDefault="007D25FE"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rsidR="007D25FE" w:rsidRPr="0010229D" w:rsidRDefault="007D25FE"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rsidR="007D25FE" w:rsidRPr="0010229D" w:rsidRDefault="007D25FE" w:rsidP="00C60967"/>
        </w:tc>
        <w:tc>
          <w:tcPr>
            <w:tcW w:w="343" w:type="dxa"/>
            <w:vMerge/>
            <w:tcBorders>
              <w:left w:val="single" w:sz="2" w:space="0" w:color="FFFFFF"/>
              <w:bottom w:val="single" w:sz="18" w:space="0" w:color="FFFFFF"/>
              <w:right w:val="single" w:sz="18" w:space="0" w:color="FFFFFF"/>
            </w:tcBorders>
            <w:shd w:val="clear" w:color="auto" w:fill="D99594"/>
          </w:tcPr>
          <w:p w:rsidR="007D25FE" w:rsidRPr="0010229D" w:rsidRDefault="007D25FE" w:rsidP="00C60967"/>
        </w:tc>
      </w:tr>
    </w:tbl>
    <w:p w:rsidR="00617421" w:rsidRPr="00FB377B" w:rsidRDefault="00617421" w:rsidP="00A728F1">
      <w:pPr>
        <w:rPr>
          <w:rFonts w:eastAsia="Times New Roman"/>
          <w:szCs w:val="22"/>
        </w:rPr>
      </w:pPr>
    </w:p>
    <w:p w:rsidR="00617421" w:rsidRDefault="00617421" w:rsidP="00FE5928">
      <w:pPr>
        <w:pStyle w:val="Heading3"/>
      </w:pPr>
      <w:r w:rsidRPr="0010229D">
        <w:t xml:space="preserve">Commitment </w:t>
      </w:r>
      <w:r w:rsidRPr="004B1C12">
        <w:t>A</w:t>
      </w:r>
      <w:r w:rsidRPr="0010229D">
        <w:t>im:</w:t>
      </w:r>
    </w:p>
    <w:p w:rsidR="00617421" w:rsidRDefault="00617421" w:rsidP="00A728F1">
      <w:r w:rsidRPr="00A728F1">
        <w:t>Citizens living in rural areas of Georgia have limited access to continued education and training resources which in turn contributes to the lack of qualified candidates on the country’s job market and low productivi</w:t>
      </w:r>
      <w:r>
        <w:t>ty levels. To address this,</w:t>
      </w:r>
      <w:r w:rsidRPr="00A728F1">
        <w:t xml:space="preserve"> the Innov</w:t>
      </w:r>
      <w:r>
        <w:t>ation and Technology Agency committed</w:t>
      </w:r>
      <w:r w:rsidRPr="00A728F1">
        <w:t xml:space="preserve"> to support</w:t>
      </w:r>
      <w:r>
        <w:t>ing</w:t>
      </w:r>
      <w:r w:rsidRPr="00A728F1">
        <w:t xml:space="preserve"> entrepreneurship and job creation by developing an innovation ecosystem, techno-parks and innovation centers, which would provide citizens with free access to modern technologies and skill-building trainings.</w:t>
      </w:r>
      <w:r>
        <w:t xml:space="preserve"> More specifically, the commitment aimed to:</w:t>
      </w:r>
    </w:p>
    <w:p w:rsidR="00617421" w:rsidRDefault="00617421" w:rsidP="00A728F1"/>
    <w:p w:rsidR="00617421" w:rsidRDefault="00617421" w:rsidP="0062096D">
      <w:pPr>
        <w:pStyle w:val="ListParagraph"/>
      </w:pPr>
      <w:r>
        <w:t>Develop innovation infrastructure in the capital Tbilisi;</w:t>
      </w:r>
    </w:p>
    <w:p w:rsidR="00617421" w:rsidRDefault="00617421" w:rsidP="0062096D">
      <w:pPr>
        <w:pStyle w:val="ListParagraph"/>
      </w:pPr>
      <w:r>
        <w:t>Establish regional innovation hubs in big cities;</w:t>
      </w:r>
    </w:p>
    <w:p w:rsidR="00617421" w:rsidRDefault="00617421" w:rsidP="0062096D">
      <w:pPr>
        <w:pStyle w:val="ListParagraph"/>
      </w:pPr>
      <w:r>
        <w:t>Establish innovation centres in rural areas;</w:t>
      </w:r>
    </w:p>
    <w:p w:rsidR="00617421" w:rsidRDefault="00617421" w:rsidP="0062096D">
      <w:pPr>
        <w:pStyle w:val="ListParagraph"/>
      </w:pPr>
      <w:r>
        <w:t>Increase access to internet in the regions;</w:t>
      </w:r>
    </w:p>
    <w:p w:rsidR="00617421" w:rsidRDefault="00617421" w:rsidP="0062096D">
      <w:pPr>
        <w:pStyle w:val="ListParagraph"/>
      </w:pPr>
      <w:r>
        <w:t xml:space="preserve">Enhance public access to innovation services by providing skill-building trainings for interested citizens and entrepreneurs.  </w:t>
      </w:r>
      <w:r w:rsidRPr="0028294A">
        <w:rPr>
          <w:i/>
          <w:color w:val="4F81BD" w:themeColor="accent1"/>
        </w:rPr>
        <w:t xml:space="preserve"> </w:t>
      </w:r>
    </w:p>
    <w:p w:rsidR="00617421" w:rsidRPr="0010229D" w:rsidRDefault="00617421" w:rsidP="00FE5928">
      <w:pPr>
        <w:pStyle w:val="Heading3"/>
      </w:pPr>
      <w:r w:rsidRPr="0010229D">
        <w:t>Status</w:t>
      </w:r>
    </w:p>
    <w:p w:rsidR="00617421" w:rsidRDefault="00617421" w:rsidP="00A728F1">
      <w:pPr>
        <w:pStyle w:val="Normalrglronly"/>
        <w:rPr>
          <w:b/>
          <w:color w:val="000000" w:themeColor="text1"/>
        </w:rPr>
      </w:pPr>
      <w:r w:rsidRPr="004B1C12">
        <w:rPr>
          <w:b/>
        </w:rPr>
        <w:t xml:space="preserve">Midterm: </w:t>
      </w:r>
      <w:r w:rsidRPr="004B1C12">
        <w:rPr>
          <w:b/>
          <w:color w:val="000000" w:themeColor="text1"/>
        </w:rPr>
        <w:t>Limited</w:t>
      </w:r>
    </w:p>
    <w:p w:rsidR="00617421" w:rsidRPr="00A728F1" w:rsidRDefault="00617421" w:rsidP="00A728F1">
      <w:pPr>
        <w:pStyle w:val="Normalrglronly"/>
        <w:rPr>
          <w:rFonts w:ascii="Sylfaen" w:hAnsi="Sylfaen"/>
          <w:b/>
          <w:lang w:val="ka-GE"/>
        </w:rPr>
      </w:pPr>
      <w:r w:rsidRPr="00A728F1">
        <w:t xml:space="preserve">At the mid-term point, the commitment saw limited implementation. </w:t>
      </w:r>
      <w:r>
        <w:t>The A</w:t>
      </w:r>
      <w:r w:rsidRPr="00A728F1">
        <w:t>gency opened one techno-park and three innovation centers instead of the initially planned two techno-p</w:t>
      </w:r>
      <w:r>
        <w:t xml:space="preserve">arks and 13 innovation centers. This delay in implementation was mainly </w:t>
      </w:r>
      <w:r w:rsidRPr="00A728F1">
        <w:t>due to problems related to the lack of funding and the dire co</w:t>
      </w:r>
      <w:r>
        <w:t xml:space="preserve">nditions of old buildings meant for those centers. </w:t>
      </w:r>
    </w:p>
    <w:p w:rsidR="00617421" w:rsidRPr="004B1C12" w:rsidRDefault="00617421" w:rsidP="00A728F1">
      <w:pPr>
        <w:pStyle w:val="Normalrglronly"/>
        <w:rPr>
          <w:b/>
          <w:color w:val="000000" w:themeColor="text1"/>
        </w:rPr>
      </w:pPr>
      <w:r w:rsidRPr="004B1C12">
        <w:rPr>
          <w:b/>
        </w:rPr>
        <w:t xml:space="preserve">End of term: </w:t>
      </w:r>
      <w:r>
        <w:rPr>
          <w:b/>
          <w:color w:val="000000" w:themeColor="text1"/>
        </w:rPr>
        <w:t>Limited</w:t>
      </w:r>
    </w:p>
    <w:p w:rsidR="00617421" w:rsidRPr="009C2BD7" w:rsidRDefault="00617421" w:rsidP="00A728F1">
      <w:pPr>
        <w:pStyle w:val="Normalrglronly"/>
        <w:rPr>
          <w:color w:val="auto"/>
          <w:shd w:val="clear" w:color="auto" w:fill="FFFFFF"/>
        </w:rPr>
      </w:pPr>
      <w:r w:rsidRPr="009C2BD7">
        <w:rPr>
          <w:color w:val="auto"/>
          <w:shd w:val="clear" w:color="auto" w:fill="FFFFFF"/>
        </w:rPr>
        <w:t xml:space="preserve">The </w:t>
      </w:r>
      <w:r w:rsidR="006B7ECF">
        <w:rPr>
          <w:color w:val="auto"/>
          <w:shd w:val="clear" w:color="auto" w:fill="FFFFFF"/>
        </w:rPr>
        <w:t xml:space="preserve">status </w:t>
      </w:r>
      <w:r w:rsidRPr="009C2BD7">
        <w:rPr>
          <w:color w:val="auto"/>
          <w:shd w:val="clear" w:color="auto" w:fill="FFFFFF"/>
        </w:rPr>
        <w:t xml:space="preserve">has not changed since the mid-term evaluation. </w:t>
      </w:r>
      <w:r>
        <w:rPr>
          <w:color w:val="auto"/>
          <w:shd w:val="clear" w:color="auto" w:fill="FFFFFF"/>
        </w:rPr>
        <w:t xml:space="preserve">As of October 2018, </w:t>
      </w:r>
      <w:r w:rsidR="008654C0">
        <w:rPr>
          <w:color w:val="auto"/>
          <w:shd w:val="clear" w:color="auto" w:fill="FFFFFF"/>
        </w:rPr>
        <w:t>the Innovation and Technology Agency had not opened any</w:t>
      </w:r>
      <w:r w:rsidRPr="009C2BD7">
        <w:rPr>
          <w:color w:val="auto"/>
          <w:shd w:val="clear" w:color="auto" w:fill="FFFFFF"/>
        </w:rPr>
        <w:t xml:space="preserve"> </w:t>
      </w:r>
      <w:r w:rsidR="008654C0">
        <w:rPr>
          <w:color w:val="auto"/>
          <w:shd w:val="clear" w:color="auto" w:fill="FFFFFF"/>
        </w:rPr>
        <w:t>additional</w:t>
      </w:r>
      <w:r w:rsidR="008654C0" w:rsidRPr="009C2BD7">
        <w:rPr>
          <w:color w:val="auto"/>
          <w:shd w:val="clear" w:color="auto" w:fill="FFFFFF"/>
        </w:rPr>
        <w:t xml:space="preserve"> </w:t>
      </w:r>
      <w:r w:rsidRPr="009C2BD7">
        <w:rPr>
          <w:color w:val="auto"/>
          <w:shd w:val="clear" w:color="auto" w:fill="FFFFFF"/>
        </w:rPr>
        <w:t>techno-parks or innovation centers</w:t>
      </w:r>
      <w:r>
        <w:t xml:space="preserve">, </w:t>
      </w:r>
      <w:r w:rsidR="008654C0">
        <w:t>b</w:t>
      </w:r>
      <w:r w:rsidR="00C75437">
        <w:t>ut planned</w:t>
      </w:r>
      <w:r>
        <w:t xml:space="preserve"> to open a techno-park in Telavi and two innovation centers in Akhmeta and Rukhi by end of 2018.</w:t>
      </w:r>
      <w:r>
        <w:rPr>
          <w:rStyle w:val="EndnoteReference"/>
        </w:rPr>
        <w:endnoteReference w:id="26"/>
      </w:r>
      <w:r>
        <w:t xml:space="preserve"> </w:t>
      </w:r>
    </w:p>
    <w:p w:rsidR="00617421"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rsidR="00617421" w:rsidRDefault="00617421" w:rsidP="0045500E">
      <w:pPr>
        <w:rPr>
          <w:lang w:val="en-GB"/>
        </w:rPr>
      </w:pPr>
      <w:r w:rsidRPr="00184E05">
        <w:rPr>
          <w:b/>
          <w:color w:val="000000" w:themeColor="text1"/>
        </w:rPr>
        <w:t>Did Not Change</w:t>
      </w:r>
    </w:p>
    <w:p w:rsidR="00617421" w:rsidRPr="0045500E" w:rsidRDefault="00617421" w:rsidP="0045500E">
      <w:pPr>
        <w:rPr>
          <w:lang w:val="en-GB"/>
        </w:rPr>
      </w:pPr>
    </w:p>
    <w:p w:rsidR="00617421" w:rsidRPr="00184E05" w:rsidRDefault="00617421" w:rsidP="00A728F1">
      <w:pPr>
        <w:rPr>
          <w:color w:val="000000" w:themeColor="text1"/>
        </w:rPr>
      </w:pPr>
      <w:r>
        <w:rPr>
          <w:color w:val="000000" w:themeColor="text1"/>
        </w:rPr>
        <w:lastRenderedPageBreak/>
        <w:t>While providing free access to high-tech products, co-working space, and grants for various innovation projects, the techno-parks and innovation centers in their current form are not meant to open up the government decision-making processes. According to the Agency representatives, these centers occasionally host informative public meetings with the participation of local government representatives, mostly on youth, innovation, online technologies, computer literacy, and entrepreneurship-related issues.</w:t>
      </w:r>
      <w:r>
        <w:rPr>
          <w:rStyle w:val="EndnoteReference"/>
          <w:color w:val="000000" w:themeColor="text1"/>
        </w:rPr>
        <w:endnoteReference w:id="27"/>
      </w:r>
      <w:r>
        <w:rPr>
          <w:color w:val="000000" w:themeColor="text1"/>
        </w:rPr>
        <w:t xml:space="preserve"> However, they do not serve as a platform for citizens to raise issues of local concern directly with their elected representatives and to contribute to policy-making around those issues. Nor do the centers conduct surveys to measure the satisfaction of their users with the existing services provided and to solicit the users’ feedback on future improvements. Therefore, this commitment fell short of increasing public access to information in the OGP context. </w:t>
      </w:r>
    </w:p>
    <w:p w:rsidR="00617421" w:rsidRDefault="00617421" w:rsidP="00FE5928">
      <w:pPr>
        <w:pStyle w:val="Heading3"/>
      </w:pPr>
      <w:r w:rsidRPr="0010229D">
        <w:t xml:space="preserve">Carried </w:t>
      </w:r>
      <w:r w:rsidRPr="004B1C12">
        <w:t>F</w:t>
      </w:r>
      <w:r w:rsidRPr="0010229D">
        <w:t>orward?</w:t>
      </w:r>
    </w:p>
    <w:p w:rsidR="00617421" w:rsidRDefault="00466EBE" w:rsidP="009D4381">
      <w:r w:rsidRPr="00407534">
        <w:rPr>
          <w:color w:val="000000" w:themeColor="text1"/>
        </w:rPr>
        <w:t>The commitment was not carried into the new Action Plan 2018-20</w:t>
      </w:r>
      <w:r w:rsidR="00341565">
        <w:rPr>
          <w:color w:val="000000" w:themeColor="text1"/>
        </w:rPr>
        <w:t>19</w:t>
      </w:r>
      <w:r w:rsidR="008C3118">
        <w:rPr>
          <w:lang w:val="en-GB"/>
        </w:rPr>
        <w:t>, but the government</w:t>
      </w:r>
      <w:r w:rsidR="008C3118">
        <w:t xml:space="preserve"> intends to continue opening the techno-parks and innovation centers outside of the OGP process.</w:t>
      </w:r>
      <w:r w:rsidR="00617421">
        <w:t xml:space="preserve"> </w:t>
      </w:r>
    </w:p>
    <w:p w:rsidR="00617421" w:rsidRDefault="00617421" w:rsidP="009D4381"/>
    <w:p w:rsidR="00617421" w:rsidRDefault="00617421" w:rsidP="009D4381"/>
    <w:p w:rsidR="00617421" w:rsidRDefault="00617421">
      <w:pPr>
        <w:tabs>
          <w:tab w:val="clear" w:pos="2880"/>
        </w:tabs>
        <w:rPr>
          <w:rFonts w:eastAsiaTheme="majorEastAsia"/>
          <w:b/>
          <w:bCs/>
          <w:color w:val="1F497D" w:themeColor="text2"/>
          <w:sz w:val="26"/>
          <w:szCs w:val="26"/>
        </w:rPr>
      </w:pPr>
      <w:r>
        <w:br w:type="page"/>
      </w:r>
    </w:p>
    <w:p w:rsidR="00617421" w:rsidRDefault="00617421" w:rsidP="00C60967">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A45129" w:rsidRDefault="00A45129" w:rsidP="00C60967">
      <w:pPr>
        <w:pStyle w:val="Heading2"/>
        <w:sectPr w:rsidR="00A45129"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Pr="004B1C12" w:rsidRDefault="00617421" w:rsidP="00C60967">
      <w:pPr>
        <w:pStyle w:val="Heading2"/>
      </w:pPr>
      <w:bookmarkStart w:id="27" w:name="_Toc409220378"/>
      <w:r>
        <w:lastRenderedPageBreak/>
        <w:t>6</w:t>
      </w:r>
      <w:r w:rsidRPr="004B1C12">
        <w:t xml:space="preserve">. </w:t>
      </w:r>
      <w:r w:rsidRPr="00AA6C7A">
        <w:t>Electronic portal for registering and disposal of state property – Customer’s Module</w:t>
      </w:r>
      <w:bookmarkEnd w:id="27"/>
    </w:p>
    <w:p w:rsidR="00617421" w:rsidRDefault="00617421" w:rsidP="00C60967">
      <w:pPr>
        <w:pStyle w:val="APQuotefeaturetol"/>
        <w:rPr>
          <w:b/>
        </w:rPr>
      </w:pPr>
    </w:p>
    <w:p w:rsidR="00617421" w:rsidRDefault="00617421" w:rsidP="00C60967">
      <w:pPr>
        <w:pStyle w:val="APQuotefeaturetol"/>
      </w:pPr>
      <w:r w:rsidRPr="004B1C12">
        <w:rPr>
          <w:b/>
        </w:rPr>
        <w:t>Commitment Text:</w:t>
      </w:r>
      <w:r w:rsidRPr="00B471A7">
        <w:t xml:space="preserve"> </w:t>
      </w:r>
      <w:r>
        <w:t>The National Agency of State Property (hereinafter, Property Agency) is focused to offer its customers quick and affordable services, including remote services countrywide so that people can obtain information and services from the Agency without leaving homes.</w:t>
      </w:r>
    </w:p>
    <w:p w:rsidR="00617421" w:rsidRDefault="00617421" w:rsidP="00C60967">
      <w:pPr>
        <w:pStyle w:val="APQuotefeaturetol"/>
      </w:pPr>
      <w:r>
        <w:t>Under Action Plan, the Property Agency will create an electronic portal for registration and disposal of State property – customer’s module. Creation of a customer’s module not only serves to introduce electronic services, but also to build more transparent processes.</w:t>
      </w:r>
    </w:p>
    <w:p w:rsidR="00617421" w:rsidRDefault="00617421" w:rsidP="00505C1E">
      <w:pPr>
        <w:pStyle w:val="APQuotefeaturetol"/>
      </w:pPr>
      <w:r>
        <w:t>The customer’s module will enable the stakeholders to obtain information about state property, objects under privatization, and announcements of auctions. This will increase competition and it will be easier for customers to identify the property and services (privatization/lease) they are interested in.</w:t>
      </w:r>
    </w:p>
    <w:p w:rsidR="00617421" w:rsidRPr="007D07EA" w:rsidRDefault="00617421" w:rsidP="00C60967">
      <w:pPr>
        <w:pStyle w:val="Normalrglronly"/>
      </w:pPr>
      <w:r w:rsidRPr="007D07EA">
        <w:t xml:space="preserve">Responsible institution(s): </w:t>
      </w:r>
      <w:r w:rsidRPr="007D07EA">
        <w:rPr>
          <w:noProof/>
        </w:rPr>
        <w:t>LEPL – National Agency of State Property, Ministry of Economy and Sustainable Development of Georgia</w:t>
      </w:r>
    </w:p>
    <w:p w:rsidR="00617421" w:rsidRPr="007D07EA" w:rsidRDefault="00617421" w:rsidP="00C60967">
      <w:pPr>
        <w:pStyle w:val="Normalrglronly"/>
      </w:pPr>
      <w:r w:rsidRPr="007D07EA">
        <w:t>Supporting institution(s):</w:t>
      </w:r>
      <w:r w:rsidRPr="00562EF0">
        <w:t xml:space="preserve"> </w:t>
      </w:r>
      <w:r>
        <w:rPr>
          <w:noProof/>
        </w:rPr>
        <w:t>None</w:t>
      </w:r>
    </w:p>
    <w:p w:rsidR="00617421" w:rsidRDefault="00617421" w:rsidP="00C60967">
      <w:pPr>
        <w:rPr>
          <w:szCs w:val="22"/>
        </w:rPr>
      </w:pPr>
      <w:r w:rsidRPr="004B1C12">
        <w:t xml:space="preserve">Start Date:    </w:t>
      </w:r>
      <w:r w:rsidRPr="0053048F">
        <w:rPr>
          <w:szCs w:val="22"/>
        </w:rPr>
        <w:t>April 2016</w:t>
      </w:r>
      <w:r w:rsidRPr="004B1C12">
        <w:t xml:space="preserve">        </w:t>
      </w:r>
      <w:r>
        <w:t xml:space="preserve">                 </w:t>
      </w:r>
      <w:r w:rsidRPr="004B1C12">
        <w:t xml:space="preserve">   End Date: </w:t>
      </w:r>
      <w:r w:rsidRPr="0053048F">
        <w:rPr>
          <w:szCs w:val="22"/>
        </w:rPr>
        <w:t>July 2016</w:t>
      </w:r>
    </w:p>
    <w:p w:rsidR="00617421" w:rsidRDefault="00617421" w:rsidP="00C60967">
      <w:pPr>
        <w:rPr>
          <w:szCs w:val="22"/>
        </w:rPr>
      </w:pPr>
    </w:p>
    <w:p w:rsidR="00617421" w:rsidRDefault="00617421" w:rsidP="00C60967">
      <w:pPr>
        <w:rPr>
          <w:szCs w:val="22"/>
        </w:rPr>
      </w:pPr>
    </w:p>
    <w:tbl>
      <w:tblPr>
        <w:tblW w:w="1097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617421" w:rsidRPr="006E7C15"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6E7C15" w:rsidRDefault="00617421" w:rsidP="00C60967">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6E7C15" w:rsidRDefault="00617421" w:rsidP="00C60967">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rsidR="00617421" w:rsidRPr="006E7C15" w:rsidRDefault="00617421" w:rsidP="00C60967">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6E7C15" w:rsidRDefault="00617421" w:rsidP="00C60967">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6E7C15" w:rsidRDefault="00617421" w:rsidP="00C60967">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6E7C15" w:rsidRDefault="00617421" w:rsidP="00C60967">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6E7C15" w:rsidRDefault="00617421" w:rsidP="00C60967">
            <w:r w:rsidRPr="006E7C15">
              <w:t>Did It Open Government?</w:t>
            </w:r>
          </w:p>
        </w:tc>
      </w:tr>
      <w:tr w:rsidR="00617421" w:rsidRPr="006E7C15" w:rsidTr="00780B24">
        <w:trPr>
          <w:trHeight w:val="373"/>
        </w:trPr>
        <w:tc>
          <w:tcPr>
            <w:tcW w:w="1596" w:type="dxa"/>
            <w:vMerge/>
            <w:tcBorders>
              <w:left w:val="single" w:sz="4" w:space="0" w:color="FFFFFF"/>
              <w:right w:val="single" w:sz="18" w:space="0" w:color="FFFFFF"/>
            </w:tcBorders>
            <w:shd w:val="clear" w:color="auto" w:fill="000000"/>
            <w:vAlign w:val="center"/>
          </w:tcPr>
          <w:p w:rsidR="00617421" w:rsidRPr="006E7C15"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6E7C15" w:rsidRDefault="00617421" w:rsidP="00C60967"/>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rsidR="00617421" w:rsidRPr="006E7C15"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6E7C15"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6E7C15"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6E7C15" w:rsidRDefault="00617421" w:rsidP="00C60967">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6E7C15" w:rsidRDefault="00617421" w:rsidP="00C60967"/>
        </w:tc>
      </w:tr>
      <w:tr w:rsidR="00617421" w:rsidRPr="006E7C15"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6E7C15"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6E7C15" w:rsidRDefault="00617421" w:rsidP="00C60967">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C60967">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C60967">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6E7C15" w:rsidRDefault="00617421" w:rsidP="00C60967">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C60967">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C60967">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C60967">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6E7C15" w:rsidRDefault="00617421" w:rsidP="00C60967">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6E7C15" w:rsidRDefault="00617421" w:rsidP="00C60967">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C60967">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C60967">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6E7C15" w:rsidRDefault="00617421" w:rsidP="00C60967">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6E7C15" w:rsidRDefault="00617421" w:rsidP="00C60967">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C60967">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C60967">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6E7C15" w:rsidRDefault="00617421" w:rsidP="00C60967">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6E7C15" w:rsidRDefault="00617421" w:rsidP="00C60967">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C60967">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C60967">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C60967">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6E7C15" w:rsidRDefault="00617421" w:rsidP="00C60967">
            <w:r w:rsidRPr="006E7C15">
              <w:t>Outstanding</w:t>
            </w:r>
          </w:p>
        </w:tc>
      </w:tr>
      <w:tr w:rsidR="00617421" w:rsidRPr="006E7C15" w:rsidTr="00780B24">
        <w:trPr>
          <w:trHeight w:val="974"/>
        </w:trPr>
        <w:tc>
          <w:tcPr>
            <w:tcW w:w="1596" w:type="dxa"/>
            <w:vMerge w:val="restart"/>
            <w:tcBorders>
              <w:top w:val="single" w:sz="18" w:space="0" w:color="FFFFFF"/>
              <w:left w:val="single" w:sz="4" w:space="0" w:color="FFFFFF"/>
            </w:tcBorders>
            <w:shd w:val="clear" w:color="auto" w:fill="000000"/>
            <w:vAlign w:val="center"/>
          </w:tcPr>
          <w:p w:rsidR="00617421" w:rsidRPr="006E7C15" w:rsidRDefault="00617421" w:rsidP="00C60967">
            <w:pPr>
              <w:rPr>
                <w:color w:val="FFFFFF" w:themeColor="background1"/>
              </w:rPr>
            </w:pPr>
            <w:r>
              <w:rPr>
                <w:color w:val="FFFFFF" w:themeColor="background1"/>
              </w:rPr>
              <w:t xml:space="preserve">6. </w:t>
            </w:r>
            <w:r>
              <w:t xml:space="preserve"> </w:t>
            </w:r>
            <w:r w:rsidRPr="00AA6C7A">
              <w:rPr>
                <w:color w:val="FFFFFF" w:themeColor="background1"/>
              </w:rPr>
              <w:t>Electronic portal for registering and disposal of state property – Customer’s Module</w:t>
            </w:r>
          </w:p>
        </w:tc>
        <w:tc>
          <w:tcPr>
            <w:tcW w:w="445" w:type="dxa"/>
            <w:vMerge w:val="restart"/>
            <w:tcBorders>
              <w:top w:val="single" w:sz="18" w:space="0" w:color="FFFFFF"/>
              <w:right w:val="single" w:sz="2" w:space="0" w:color="FFFFFF"/>
            </w:tcBorders>
            <w:shd w:val="clear" w:color="auto" w:fill="D6E3BC"/>
            <w:vAlign w:val="center"/>
          </w:tcPr>
          <w:p w:rsidR="00617421" w:rsidRPr="006E7C15"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C60967">
            <w:r w:rsidRPr="006E7C15">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6E7C15" w:rsidRDefault="00617421" w:rsidP="00C60967"/>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C60967">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textDirection w:val="btLr"/>
            <w:vAlign w:val="center"/>
          </w:tcPr>
          <w:p w:rsidR="00617421" w:rsidRPr="006E7C15" w:rsidRDefault="00617421" w:rsidP="00C60967">
            <w:pPr>
              <w:jc w:val="center"/>
            </w:pPr>
          </w:p>
        </w:tc>
        <w:tc>
          <w:tcPr>
            <w:tcW w:w="498" w:type="dxa"/>
            <w:gridSpan w:val="2"/>
            <w:vMerge w:val="restart"/>
            <w:tcBorders>
              <w:top w:val="single" w:sz="18" w:space="0" w:color="FFFFFF"/>
              <w:left w:val="single" w:sz="2" w:space="0" w:color="FFFFFF"/>
              <w:right w:val="single" w:sz="18" w:space="0" w:color="FFFFFF"/>
            </w:tcBorders>
            <w:shd w:val="clear" w:color="auto" w:fill="FBD4B4"/>
            <w:textDirection w:val="btLr"/>
            <w:vAlign w:val="center"/>
          </w:tcPr>
          <w:p w:rsidR="00617421" w:rsidRPr="006E7C15" w:rsidRDefault="00617421" w:rsidP="00C60967">
            <w:pPr>
              <w:jc w:val="center"/>
            </w:pPr>
          </w:p>
        </w:tc>
        <w:tc>
          <w:tcPr>
            <w:tcW w:w="498" w:type="dxa"/>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C60967">
            <w:pPr>
              <w:jc w:val="center"/>
            </w:pPr>
            <w:r w:rsidRPr="006E7C15">
              <w:rPr>
                <w:rFonts w:ascii="MS Mincho" w:eastAsia="MS Mincho" w:hAnsi="MS Mincho" w:cs="MS Mincho"/>
                <w:sz w:val="20"/>
              </w:rPr>
              <w:t>✔</w:t>
            </w:r>
          </w:p>
        </w:tc>
        <w:tc>
          <w:tcPr>
            <w:tcW w:w="450" w:type="dxa"/>
            <w:vMerge w:val="restart"/>
            <w:tcBorders>
              <w:top w:val="single" w:sz="18" w:space="0" w:color="FFFFFF"/>
              <w:left w:val="single" w:sz="18" w:space="0" w:color="FFFFFF"/>
              <w:right w:val="single" w:sz="2" w:space="0" w:color="FFFFFF"/>
            </w:tcBorders>
            <w:shd w:val="clear" w:color="auto" w:fill="CCC0D9"/>
            <w:textDirection w:val="btLr"/>
            <w:vAlign w:val="center"/>
          </w:tcPr>
          <w:p w:rsidR="00617421" w:rsidRPr="006E7C15"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C60967">
            <w:r w:rsidRPr="006E7C15">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6E7C15" w:rsidRDefault="00617421" w:rsidP="00C60967"/>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617421" w:rsidRPr="006E7C15" w:rsidRDefault="00617421" w:rsidP="00C60967"/>
        </w:tc>
        <w:tc>
          <w:tcPr>
            <w:tcW w:w="45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rsidR="00617421" w:rsidRPr="006E7C15" w:rsidRDefault="00617421" w:rsidP="00C60967">
            <w:r w:rsidRPr="006E7C15">
              <w:rPr>
                <w:rFonts w:ascii="MS Mincho" w:eastAsia="MS Mincho" w:hAnsi="MS Mincho" w:cs="MS Mincho"/>
                <w:sz w:val="20"/>
              </w:rPr>
              <w:t>✔</w:t>
            </w:r>
          </w:p>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C60967"/>
        </w:tc>
        <w:tc>
          <w:tcPr>
            <w:tcW w:w="461" w:type="dxa"/>
            <w:vMerge w:val="restart"/>
            <w:tcBorders>
              <w:top w:val="single" w:sz="18" w:space="0" w:color="FFFFFF"/>
              <w:left w:val="single" w:sz="4" w:space="0" w:color="FFFFFF" w:themeColor="background1"/>
              <w:right w:val="single" w:sz="18" w:space="0" w:color="FFFFFF"/>
            </w:tcBorders>
            <w:shd w:val="clear" w:color="auto" w:fill="B8CCE4"/>
            <w:vAlign w:val="center"/>
          </w:tcPr>
          <w:p w:rsidR="00617421" w:rsidRPr="006E7C15"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6E7C15"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C60967">
            <w:r w:rsidRPr="006E7C15">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6E7C15" w:rsidRDefault="00617421" w:rsidP="00C60967"/>
        </w:tc>
      </w:tr>
      <w:tr w:rsidR="00617421" w:rsidRPr="006E7C15" w:rsidTr="00780B24">
        <w:trPr>
          <w:trHeight w:val="974"/>
        </w:trPr>
        <w:tc>
          <w:tcPr>
            <w:tcW w:w="1596" w:type="dxa"/>
            <w:vMerge/>
            <w:tcBorders>
              <w:left w:val="single" w:sz="4" w:space="0" w:color="FFFFFF"/>
            </w:tcBorders>
            <w:shd w:val="clear" w:color="auto" w:fill="000000"/>
            <w:vAlign w:val="center"/>
          </w:tcPr>
          <w:p w:rsidR="00617421" w:rsidRDefault="00617421" w:rsidP="00C60967">
            <w:pPr>
              <w:rPr>
                <w:color w:val="FFFFFF" w:themeColor="background1"/>
              </w:rPr>
            </w:pPr>
          </w:p>
        </w:tc>
        <w:tc>
          <w:tcPr>
            <w:tcW w:w="445" w:type="dxa"/>
            <w:vMerge/>
            <w:tcBorders>
              <w:right w:val="single" w:sz="2" w:space="0" w:color="FFFFFF"/>
            </w:tcBorders>
            <w:shd w:val="clear" w:color="auto" w:fill="D6E3BC"/>
            <w:vAlign w:val="center"/>
          </w:tcPr>
          <w:p w:rsidR="00617421" w:rsidRPr="006E7C15" w:rsidRDefault="00617421" w:rsidP="00C60967"/>
        </w:tc>
        <w:tc>
          <w:tcPr>
            <w:tcW w:w="451" w:type="dxa"/>
            <w:vMerge/>
            <w:tcBorders>
              <w:left w:val="single" w:sz="2" w:space="0" w:color="FFFFFF"/>
              <w:right w:val="single" w:sz="2" w:space="0" w:color="FFFFFF"/>
            </w:tcBorders>
            <w:shd w:val="clear" w:color="auto" w:fill="D6E3BC"/>
            <w:vAlign w:val="center"/>
          </w:tcPr>
          <w:p w:rsidR="00617421" w:rsidRPr="006E7C15" w:rsidRDefault="00617421" w:rsidP="00C60967"/>
        </w:tc>
        <w:tc>
          <w:tcPr>
            <w:tcW w:w="362" w:type="dxa"/>
            <w:vMerge/>
            <w:tcBorders>
              <w:left w:val="single" w:sz="2" w:space="0" w:color="FFFFFF"/>
              <w:right w:val="single" w:sz="2" w:space="0" w:color="FFFFFF"/>
            </w:tcBorders>
            <w:shd w:val="clear" w:color="auto" w:fill="D6E3BC"/>
            <w:vAlign w:val="center"/>
          </w:tcPr>
          <w:p w:rsidR="00617421" w:rsidRPr="006E7C15" w:rsidRDefault="00617421" w:rsidP="00C60967">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rsidR="00617421" w:rsidRPr="006E7C15" w:rsidRDefault="00617421" w:rsidP="00C60967"/>
        </w:tc>
        <w:tc>
          <w:tcPr>
            <w:tcW w:w="498" w:type="dxa"/>
            <w:gridSpan w:val="2"/>
            <w:vMerge/>
            <w:tcBorders>
              <w:left w:val="single" w:sz="2" w:space="0" w:color="FFFFFF"/>
              <w:right w:val="single" w:sz="18" w:space="0" w:color="FFFFFF"/>
            </w:tcBorders>
            <w:shd w:val="clear" w:color="auto" w:fill="FBD4B4"/>
            <w:vAlign w:val="center"/>
          </w:tcPr>
          <w:p w:rsidR="00617421" w:rsidRPr="006E7C15" w:rsidRDefault="00617421" w:rsidP="00C60967">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textDirection w:val="btLr"/>
            <w:vAlign w:val="center"/>
          </w:tcPr>
          <w:p w:rsidR="00617421" w:rsidRPr="006E7C15" w:rsidRDefault="00617421" w:rsidP="00C60967">
            <w:pPr>
              <w:jc w:val="center"/>
            </w:pPr>
          </w:p>
        </w:tc>
        <w:tc>
          <w:tcPr>
            <w:tcW w:w="498" w:type="dxa"/>
            <w:gridSpan w:val="2"/>
            <w:vMerge/>
            <w:tcBorders>
              <w:left w:val="single" w:sz="2" w:space="0" w:color="FFFFFF"/>
              <w:right w:val="single" w:sz="18" w:space="0" w:color="FFFFFF"/>
            </w:tcBorders>
            <w:shd w:val="clear" w:color="auto" w:fill="FBD4B4"/>
            <w:textDirection w:val="btLr"/>
            <w:vAlign w:val="center"/>
          </w:tcPr>
          <w:p w:rsidR="00617421" w:rsidRPr="006E7C15" w:rsidRDefault="00617421" w:rsidP="00C60967">
            <w:pPr>
              <w:jc w:val="center"/>
            </w:pPr>
          </w:p>
        </w:tc>
        <w:tc>
          <w:tcPr>
            <w:tcW w:w="498" w:type="dxa"/>
            <w:vMerge/>
            <w:tcBorders>
              <w:left w:val="single" w:sz="2" w:space="0" w:color="FFFFFF"/>
              <w:right w:val="single" w:sz="18" w:space="0" w:color="FFFFFF"/>
            </w:tcBorders>
            <w:shd w:val="clear" w:color="auto" w:fill="FBD4B4"/>
            <w:vAlign w:val="center"/>
          </w:tcPr>
          <w:p w:rsidR="00617421" w:rsidRPr="006E7C15" w:rsidRDefault="00617421" w:rsidP="00C60967">
            <w:pPr>
              <w:jc w:val="center"/>
              <w:rPr>
                <w:rFonts w:ascii="MS Mincho" w:eastAsia="MS Mincho" w:hAnsi="MS Mincho" w:cs="MS Mincho"/>
                <w:sz w:val="20"/>
              </w:rPr>
            </w:pPr>
          </w:p>
        </w:tc>
        <w:tc>
          <w:tcPr>
            <w:tcW w:w="450" w:type="dxa"/>
            <w:vMerge/>
            <w:tcBorders>
              <w:left w:val="single" w:sz="18" w:space="0" w:color="FFFFFF"/>
              <w:right w:val="single" w:sz="2" w:space="0" w:color="FFFFFF"/>
            </w:tcBorders>
            <w:shd w:val="clear" w:color="auto" w:fill="CCC0D9"/>
            <w:textDirection w:val="btLr"/>
            <w:vAlign w:val="center"/>
          </w:tcPr>
          <w:p w:rsidR="00617421" w:rsidRPr="006E7C15" w:rsidRDefault="00617421" w:rsidP="00C60967"/>
        </w:tc>
        <w:tc>
          <w:tcPr>
            <w:tcW w:w="360" w:type="dxa"/>
            <w:vMerge/>
            <w:tcBorders>
              <w:left w:val="single" w:sz="2" w:space="0" w:color="FFFFFF"/>
              <w:right w:val="single" w:sz="2" w:space="0" w:color="FFFFFF"/>
            </w:tcBorders>
            <w:shd w:val="clear" w:color="auto" w:fill="CCC0D9"/>
            <w:vAlign w:val="center"/>
          </w:tcPr>
          <w:p w:rsidR="00617421" w:rsidRPr="006E7C15" w:rsidRDefault="00617421" w:rsidP="00C60967">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rsidR="00617421" w:rsidRPr="006E7C15" w:rsidRDefault="00617421" w:rsidP="00C60967"/>
        </w:tc>
        <w:tc>
          <w:tcPr>
            <w:tcW w:w="360" w:type="dxa"/>
            <w:vMerge/>
            <w:tcBorders>
              <w:left w:val="single" w:sz="2" w:space="0" w:color="FFFFFF"/>
              <w:right w:val="single" w:sz="18" w:space="0" w:color="FFFFFF"/>
            </w:tcBorders>
            <w:shd w:val="clear" w:color="auto" w:fill="CCC0D9"/>
            <w:vAlign w:val="center"/>
          </w:tcPr>
          <w:p w:rsidR="00617421" w:rsidRPr="006E7C15" w:rsidRDefault="00617421" w:rsidP="00C60967"/>
        </w:tc>
        <w:tc>
          <w:tcPr>
            <w:tcW w:w="540" w:type="dxa"/>
            <w:vMerge/>
            <w:tcBorders>
              <w:left w:val="single" w:sz="18" w:space="0" w:color="FFFFFF"/>
              <w:right w:val="single" w:sz="4" w:space="0" w:color="FFFFFF" w:themeColor="background1"/>
            </w:tcBorders>
            <w:shd w:val="clear" w:color="auto" w:fill="B8CCE4"/>
            <w:vAlign w:val="center"/>
          </w:tcPr>
          <w:p w:rsidR="00617421" w:rsidRPr="006E7C15"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C60967">
            <w:pPr>
              <w:rPr>
                <w:rFonts w:ascii="MS Mincho" w:eastAsia="MS Mincho" w:hAnsi="MS Mincho" w:cs="MS Mincho"/>
                <w:sz w:val="20"/>
              </w:rPr>
            </w:pPr>
            <w:r w:rsidRPr="0010229D">
              <w:rPr>
                <w:rFonts w:ascii="MS Mincho" w:eastAsia="MS Mincho" w:hAnsi="MS Mincho" w:cs="MS Mincho"/>
                <w:sz w:val="20"/>
              </w:rPr>
              <w:t>✔</w:t>
            </w:r>
          </w:p>
        </w:tc>
        <w:tc>
          <w:tcPr>
            <w:tcW w:w="630" w:type="dxa"/>
            <w:vMerge/>
            <w:tcBorders>
              <w:left w:val="single" w:sz="4" w:space="0" w:color="FFFFFF" w:themeColor="background1"/>
              <w:right w:val="single" w:sz="4" w:space="0" w:color="FFFFFF" w:themeColor="background1"/>
            </w:tcBorders>
            <w:shd w:val="clear" w:color="auto" w:fill="B8CCE4"/>
            <w:vAlign w:val="center"/>
          </w:tcPr>
          <w:p w:rsidR="00617421" w:rsidRPr="006E7C15" w:rsidRDefault="00617421" w:rsidP="00C60967"/>
        </w:tc>
        <w:tc>
          <w:tcPr>
            <w:tcW w:w="461" w:type="dxa"/>
            <w:vMerge/>
            <w:tcBorders>
              <w:left w:val="single" w:sz="4" w:space="0" w:color="FFFFFF" w:themeColor="background1"/>
              <w:right w:val="single" w:sz="18" w:space="0" w:color="FFFFFF"/>
            </w:tcBorders>
            <w:shd w:val="clear" w:color="auto" w:fill="B8CCE4"/>
            <w:vAlign w:val="center"/>
          </w:tcPr>
          <w:p w:rsidR="00617421" w:rsidRPr="006E7C15" w:rsidRDefault="00617421" w:rsidP="00C60967"/>
        </w:tc>
        <w:tc>
          <w:tcPr>
            <w:tcW w:w="360" w:type="dxa"/>
            <w:vMerge/>
            <w:tcBorders>
              <w:left w:val="single" w:sz="18" w:space="0" w:color="FFFFFF"/>
              <w:right w:val="single" w:sz="2" w:space="0" w:color="FFFFFF"/>
            </w:tcBorders>
            <w:shd w:val="clear" w:color="auto" w:fill="D99594"/>
            <w:vAlign w:val="center"/>
          </w:tcPr>
          <w:p w:rsidR="00617421" w:rsidRPr="006E7C15" w:rsidRDefault="00617421" w:rsidP="00C60967"/>
        </w:tc>
        <w:tc>
          <w:tcPr>
            <w:tcW w:w="540" w:type="dxa"/>
            <w:vMerge/>
            <w:tcBorders>
              <w:left w:val="single" w:sz="2" w:space="0" w:color="FFFFFF"/>
              <w:right w:val="single" w:sz="2" w:space="0" w:color="FFFFFF"/>
            </w:tcBorders>
            <w:shd w:val="clear" w:color="auto" w:fill="D99594"/>
            <w:vAlign w:val="center"/>
          </w:tcPr>
          <w:p w:rsidR="00617421" w:rsidRPr="006E7C15" w:rsidRDefault="00617421" w:rsidP="00C60967">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rsidR="00617421" w:rsidRPr="006E7C15" w:rsidRDefault="00617421" w:rsidP="00C60967"/>
        </w:tc>
        <w:tc>
          <w:tcPr>
            <w:tcW w:w="342" w:type="dxa"/>
            <w:vMerge/>
            <w:tcBorders>
              <w:left w:val="single" w:sz="2" w:space="0" w:color="FFFFFF"/>
              <w:right w:val="single" w:sz="2" w:space="0" w:color="FFFFFF"/>
            </w:tcBorders>
            <w:shd w:val="clear" w:color="auto" w:fill="D99594"/>
            <w:vAlign w:val="center"/>
          </w:tcPr>
          <w:p w:rsidR="00617421" w:rsidRPr="006E7C15" w:rsidRDefault="00617421" w:rsidP="00C60967"/>
        </w:tc>
        <w:tc>
          <w:tcPr>
            <w:tcW w:w="343" w:type="dxa"/>
            <w:vMerge/>
            <w:tcBorders>
              <w:left w:val="single" w:sz="2" w:space="0" w:color="FFFFFF"/>
              <w:right w:val="single" w:sz="18" w:space="0" w:color="FFFFFF"/>
            </w:tcBorders>
            <w:shd w:val="clear" w:color="auto" w:fill="D99594"/>
          </w:tcPr>
          <w:p w:rsidR="00617421" w:rsidRPr="006E7C15" w:rsidRDefault="00617421" w:rsidP="00C60967"/>
        </w:tc>
      </w:tr>
    </w:tbl>
    <w:p w:rsidR="00617421" w:rsidRDefault="00617421" w:rsidP="00FE5928">
      <w:pPr>
        <w:pStyle w:val="Heading3"/>
      </w:pPr>
      <w:bookmarkStart w:id="28" w:name="_Toc525759424"/>
      <w:r w:rsidRPr="0010229D">
        <w:t xml:space="preserve">Commitment </w:t>
      </w:r>
      <w:r w:rsidRPr="004B1C12">
        <w:t>A</w:t>
      </w:r>
      <w:r w:rsidRPr="0010229D">
        <w:t>im:</w:t>
      </w:r>
      <w:bookmarkEnd w:id="28"/>
    </w:p>
    <w:p w:rsidR="00617421" w:rsidRPr="00831E0B" w:rsidRDefault="00617421" w:rsidP="00C60967">
      <w:pPr>
        <w:pStyle w:val="Normalrglronly"/>
        <w:rPr>
          <w:rFonts w:ascii="Sylfaen" w:hAnsi="Sylfaen"/>
        </w:rPr>
      </w:pPr>
      <w:r>
        <w:t xml:space="preserve">In order to minimize corruption risks and reduce paperwork, the National Agency of State Property aimed at creating an electronic portal, Customer’s Module, which would allow citizens </w:t>
      </w:r>
      <w:r>
        <w:lastRenderedPageBreak/>
        <w:t xml:space="preserve">to register state property under their ownership and manage it online. Additionally, the portal would be used for publishing information about the property owned by the state, objects under privatization, and auction announcements. Information about bidders and their bids would not be published on the website, as such information is protected under commercial secrecy and privacy.  </w:t>
      </w:r>
    </w:p>
    <w:p w:rsidR="00617421" w:rsidRPr="0010229D" w:rsidRDefault="00617421" w:rsidP="00FE5928">
      <w:pPr>
        <w:pStyle w:val="Heading3"/>
      </w:pPr>
      <w:bookmarkStart w:id="29" w:name="_Toc525759425"/>
      <w:r w:rsidRPr="0010229D">
        <w:t>Status</w:t>
      </w:r>
      <w:bookmarkEnd w:id="29"/>
    </w:p>
    <w:p w:rsidR="00617421" w:rsidRPr="004B1C12" w:rsidRDefault="00617421" w:rsidP="00C60967">
      <w:pPr>
        <w:pStyle w:val="Normalrglronly"/>
        <w:rPr>
          <w:b/>
        </w:rPr>
      </w:pPr>
      <w:r w:rsidRPr="004B1C12">
        <w:rPr>
          <w:b/>
        </w:rPr>
        <w:t xml:space="preserve">Midterm: </w:t>
      </w:r>
      <w:r w:rsidRPr="004B1C12">
        <w:rPr>
          <w:b/>
          <w:color w:val="000000" w:themeColor="text1"/>
        </w:rPr>
        <w:t>Limited</w:t>
      </w:r>
    </w:p>
    <w:p w:rsidR="00617421" w:rsidRPr="004F0EA9" w:rsidRDefault="00617421" w:rsidP="00C60967">
      <w:pPr>
        <w:pStyle w:val="Normalrglronly"/>
        <w:rPr>
          <w:color w:val="4F81BD" w:themeColor="accent1"/>
        </w:rPr>
      </w:pPr>
      <w:r>
        <w:rPr>
          <w:color w:val="auto"/>
        </w:rPr>
        <w:t xml:space="preserve">The commitment had limited implementation by the midterm. As of August 2017, the Agency was in the process of testing Customer Module, which was planned to be launched in September 2018. Additionally, initially envisioned as a part of the NASP website, the module was decided to be integrated into existing </w:t>
      </w:r>
      <w:r w:rsidRPr="009C1EC0">
        <w:rPr>
          <w:i/>
          <w:color w:val="auto"/>
        </w:rPr>
        <w:t>my.gov.ge</w:t>
      </w:r>
      <w:r>
        <w:rPr>
          <w:color w:val="auto"/>
        </w:rPr>
        <w:t xml:space="preserve"> platform, due to technical problems. As for online maps of state objects and their ownership information, it would be published on the website of the Agency.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Pr>
          <w:rStyle w:val="EndnoteReference"/>
          <w:color w:val="auto"/>
        </w:rPr>
        <w:endnoteReference w:id="28"/>
      </w:r>
      <w:r>
        <w:rPr>
          <w:color w:val="auto"/>
        </w:rPr>
        <w:t xml:space="preserve"> </w:t>
      </w:r>
    </w:p>
    <w:p w:rsidR="00617421" w:rsidRDefault="00617421" w:rsidP="00C60967">
      <w:pPr>
        <w:pStyle w:val="Normalrglronly"/>
        <w:rPr>
          <w:b/>
          <w:color w:val="000000" w:themeColor="text1"/>
        </w:rPr>
      </w:pPr>
      <w:r w:rsidRPr="004B1C12">
        <w:rPr>
          <w:b/>
        </w:rPr>
        <w:t xml:space="preserve">End of term: </w:t>
      </w:r>
      <w:r w:rsidRPr="004B1C12">
        <w:rPr>
          <w:b/>
          <w:color w:val="000000" w:themeColor="text1"/>
        </w:rPr>
        <w:t>Limited</w:t>
      </w:r>
    </w:p>
    <w:p w:rsidR="00617421" w:rsidRPr="00505C1E" w:rsidRDefault="00341565" w:rsidP="00C60967">
      <w:pPr>
        <w:pStyle w:val="Normalrglronly"/>
        <w:rPr>
          <w:color w:val="auto"/>
        </w:rPr>
      </w:pPr>
      <w:r>
        <w:rPr>
          <w:color w:val="000000" w:themeColor="text1"/>
        </w:rPr>
        <w:t>The status of completion</w:t>
      </w:r>
      <w:r w:rsidR="00617421">
        <w:rPr>
          <w:color w:val="000000" w:themeColor="text1"/>
        </w:rPr>
        <w:t xml:space="preserve"> has</w:t>
      </w:r>
      <w:r>
        <w:rPr>
          <w:color w:val="000000" w:themeColor="text1"/>
        </w:rPr>
        <w:t xml:space="preserve"> not</w:t>
      </w:r>
      <w:r w:rsidR="00617421">
        <w:rPr>
          <w:color w:val="000000" w:themeColor="text1"/>
        </w:rPr>
        <w:t xml:space="preserve"> changed since the midterm report. Development of Customer Module was stalled due to technical difficulties as well as a change in leadership. As of October 2018, the Agency </w:t>
      </w:r>
      <w:r w:rsidR="0013478A">
        <w:rPr>
          <w:color w:val="000000" w:themeColor="text1"/>
        </w:rPr>
        <w:t xml:space="preserve">was </w:t>
      </w:r>
      <w:r w:rsidR="00617421">
        <w:rPr>
          <w:color w:val="000000" w:themeColor="text1"/>
        </w:rPr>
        <w:t xml:space="preserve">waiting for the agreement between the Ministry of Justice (as the initiative is implemented in coordination with Public Registry under the Ministry of Justice) and the Ministry of Economy and Sustainable Development. According to the Agency, two secondary services are available on </w:t>
      </w:r>
      <w:r w:rsidR="00617421" w:rsidRPr="009C1EC0">
        <w:rPr>
          <w:i/>
          <w:color w:val="000000" w:themeColor="text1"/>
        </w:rPr>
        <w:t>my.gov.ge</w:t>
      </w:r>
      <w:r w:rsidR="00617421">
        <w:rPr>
          <w:color w:val="000000" w:themeColor="text1"/>
        </w:rPr>
        <w:t>, but these do not constitute the main services envisioned by the Agency on privatization and monitoring of state property.</w:t>
      </w:r>
      <w:r w:rsidR="00617421">
        <w:rPr>
          <w:rStyle w:val="EndnoteReference"/>
          <w:color w:val="000000" w:themeColor="text1"/>
        </w:rPr>
        <w:endnoteReference w:id="29"/>
      </w:r>
      <w:r w:rsidR="00617421">
        <w:rPr>
          <w:color w:val="000000" w:themeColor="text1"/>
        </w:rPr>
        <w:t xml:space="preserve"> </w:t>
      </w:r>
    </w:p>
    <w:p w:rsidR="00617421" w:rsidRPr="0010229D" w:rsidRDefault="00617421" w:rsidP="00FE5928">
      <w:pPr>
        <w:pStyle w:val="Heading3"/>
      </w:pPr>
      <w:bookmarkStart w:id="30" w:name="_Toc525759426"/>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30"/>
    </w:p>
    <w:p w:rsidR="00617421" w:rsidRPr="00B2602D" w:rsidRDefault="00617421" w:rsidP="00C60967">
      <w:pPr>
        <w:rPr>
          <w:b/>
          <w:color w:val="000000" w:themeColor="text1"/>
        </w:rPr>
      </w:pPr>
      <w:r w:rsidRPr="004B1C12">
        <w:rPr>
          <w:b/>
          <w:color w:val="000000" w:themeColor="text1"/>
        </w:rPr>
        <w:t>Access to Information: Did Not Change</w:t>
      </w:r>
    </w:p>
    <w:p w:rsidR="00617421" w:rsidRPr="00B2602D" w:rsidRDefault="00617421" w:rsidP="00C60967">
      <w:r w:rsidRPr="00B2602D">
        <w:t xml:space="preserve">Since the commitment is not implemented, there was no </w:t>
      </w:r>
      <w:r w:rsidR="00341565">
        <w:t xml:space="preserve">change in government practice </w:t>
      </w:r>
      <w:r w:rsidRPr="00B2602D">
        <w:t xml:space="preserve">on increasing </w:t>
      </w:r>
      <w:r w:rsidR="00341565">
        <w:t xml:space="preserve">public </w:t>
      </w:r>
      <w:r w:rsidRPr="00B2602D">
        <w:t>access to information</w:t>
      </w:r>
      <w:r w:rsidR="00341565">
        <w:t>.</w:t>
      </w:r>
    </w:p>
    <w:p w:rsidR="00617421" w:rsidRPr="0010229D" w:rsidRDefault="00617421" w:rsidP="00FE5928">
      <w:pPr>
        <w:pStyle w:val="Heading3"/>
      </w:pPr>
      <w:bookmarkStart w:id="31" w:name="_Toc525759427"/>
      <w:r w:rsidRPr="0010229D">
        <w:t xml:space="preserve">Carried </w:t>
      </w:r>
      <w:r w:rsidRPr="004B1C12">
        <w:t>F</w:t>
      </w:r>
      <w:r w:rsidRPr="0010229D">
        <w:t>orward?</w:t>
      </w:r>
      <w:bookmarkEnd w:id="31"/>
    </w:p>
    <w:p w:rsidR="00617421" w:rsidRDefault="00617421" w:rsidP="00C60967">
      <w:r w:rsidRPr="00026583">
        <w:t xml:space="preserve">This commitment </w:t>
      </w:r>
      <w:r>
        <w:t xml:space="preserve">was not carried forward into the National Action Plan for 2018-2019. However, the NASP </w:t>
      </w:r>
      <w:r w:rsidR="001E7536">
        <w:t xml:space="preserve">made </w:t>
      </w:r>
      <w:r w:rsidR="00004A70">
        <w:t xml:space="preserve">a related commitment, Commitment 15, </w:t>
      </w:r>
      <w:r>
        <w:t xml:space="preserve">specifically focused on enhancing transparency of the state enterprises (established with 100 percent state contribution) by 1) creating a standard with basic information about the enterprise including the information on director, capital, projects, and more, and publishing it on </w:t>
      </w:r>
      <w:r w:rsidRPr="00026583">
        <w:rPr>
          <w:i/>
        </w:rPr>
        <w:t>nasp.gov.ge</w:t>
      </w:r>
      <w:r>
        <w:t xml:space="preserve">, and 2) drafting a corporate management handbook for such state enterprises. </w:t>
      </w:r>
    </w:p>
    <w:p w:rsidR="00617421" w:rsidRDefault="00617421" w:rsidP="00C60967"/>
    <w:p w:rsidR="00617421" w:rsidRDefault="00617421">
      <w:pPr>
        <w:tabs>
          <w:tab w:val="clear" w:pos="2880"/>
        </w:tabs>
        <w:rPr>
          <w:rFonts w:eastAsiaTheme="majorEastAsia"/>
          <w:b/>
          <w:bCs/>
          <w:color w:val="1F497D" w:themeColor="text2"/>
          <w:sz w:val="26"/>
          <w:szCs w:val="26"/>
        </w:rPr>
      </w:pPr>
      <w:bookmarkStart w:id="32" w:name="_Toc502917026"/>
      <w:r>
        <w:br w:type="page"/>
      </w:r>
    </w:p>
    <w:p w:rsidR="00617421" w:rsidRDefault="00617421" w:rsidP="009D4381">
      <w:pPr>
        <w:pStyle w:val="Heading2"/>
        <w:sectPr w:rsidR="00617421" w:rsidSect="00A45129">
          <w:footnotePr>
            <w:numRestart w:val="eachSect"/>
          </w:footnotePr>
          <w:endnotePr>
            <w:numFmt w:val="decimal"/>
            <w:numRestart w:val="eachSect"/>
          </w:endnotePr>
          <w:pgSz w:w="11907" w:h="16839" w:code="9"/>
          <w:pgMar w:top="1417" w:right="1417" w:bottom="1417" w:left="1417" w:header="0" w:footer="0" w:gutter="0"/>
          <w:cols w:space="708"/>
          <w:docGrid w:linePitch="360"/>
        </w:sectPr>
      </w:pPr>
    </w:p>
    <w:p w:rsidR="00617421" w:rsidRDefault="00617421" w:rsidP="009D4381">
      <w:pPr>
        <w:pStyle w:val="Heading2"/>
      </w:pPr>
      <w:bookmarkStart w:id="33" w:name="_Toc409220379"/>
      <w:r w:rsidRPr="00016F1C">
        <w:lastRenderedPageBreak/>
        <w:t>7. Development of the Freedom of Information Law</w:t>
      </w:r>
      <w:bookmarkEnd w:id="32"/>
      <w:bookmarkEnd w:id="33"/>
      <w:r w:rsidRPr="00016F1C">
        <w:t xml:space="preserve"> </w:t>
      </w:r>
    </w:p>
    <w:p w:rsidR="00617421" w:rsidRDefault="00617421" w:rsidP="009D4381">
      <w:pPr>
        <w:tabs>
          <w:tab w:val="left" w:pos="1840"/>
        </w:tabs>
      </w:pPr>
      <w:r>
        <w:tab/>
      </w:r>
    </w:p>
    <w:p w:rsidR="00617421" w:rsidRPr="00D167D9" w:rsidRDefault="00617421" w:rsidP="009D4381">
      <w:pPr>
        <w:rPr>
          <w:b/>
          <w:szCs w:val="22"/>
        </w:rPr>
      </w:pPr>
      <w:r w:rsidRPr="00D167D9">
        <w:rPr>
          <w:b/>
          <w:szCs w:val="22"/>
        </w:rPr>
        <w:t xml:space="preserve">Commitment Text: </w:t>
      </w:r>
    </w:p>
    <w:p w:rsidR="00617421" w:rsidRDefault="00617421" w:rsidP="009D4381">
      <w:pPr>
        <w:pStyle w:val="APQuotefeaturetol"/>
      </w:pPr>
      <w:r>
        <w:t>Improving legal framework of freedom of information and elaborating new provisions in compliance with international standards which are gradually being implemented, is one of the top priorities for the government of Georgia.</w:t>
      </w:r>
    </w:p>
    <w:p w:rsidR="00617421" w:rsidRDefault="00617421" w:rsidP="009D4381">
      <w:pPr>
        <w:pStyle w:val="APQuotefeaturetol"/>
      </w:pPr>
      <w:r>
        <w:t>In the framework of the first Action Plan of Georgia, decree of the government of Georgia “About the Form of the Electronic Request of Information and Proactive Disclosure of Public Information” was adopted. Through this reform, Georgia became one of seven finalist countries at the “Bright Spots” competition held by the OGP Global Summit in London. The goal of the competition was to demonstrate successful reforms implemented as a result of civil society-government cooperation.</w:t>
      </w:r>
    </w:p>
    <w:p w:rsidR="00617421" w:rsidRDefault="00617421" w:rsidP="009D4381">
      <w:pPr>
        <w:pStyle w:val="APQuotefeaturetol"/>
      </w:pPr>
      <w:r>
        <w:t>At the next stage, the government started more ambitious project of elaborating a stand-along act on freedom of information. To carry out a wide-scale consultations, a special working group comprised of representatives from the Ministry of Justice, civil society, and independent experts was created. This working group carried out an important work: (1) to identified key problematic issues in the field, thematic working groups were established; (2) the first version of the project with potential amendments was drafted and submitted to the Anti-Corruption Council; (3) meetings with the focus groups (judges, journalists, persons responsible for information disclosure) were held; (4) the draft law prepared by the working group was presented to the Ministry of Justice; (5) the draft project underwent primary international expertise.</w:t>
      </w:r>
    </w:p>
    <w:p w:rsidR="00617421" w:rsidRDefault="00617421" w:rsidP="009D4381">
      <w:pPr>
        <w:pStyle w:val="APQuotefeaturetol"/>
      </w:pPr>
      <w:r>
        <w:t>Ministry of Justice will negotiate the draft law with all governmental agencies in the framework of the given Action Plan. After the detailed review of the draft law, in the framework of the Anti-corruption Council activities, Ministry of Justice will conduct one more consultation round with governmental and civil society organizations to finalize the text of the draft law.</w:t>
      </w:r>
    </w:p>
    <w:p w:rsidR="00617421" w:rsidRDefault="00617421" w:rsidP="009D4381"/>
    <w:p w:rsidR="00617421" w:rsidRPr="00505C1E" w:rsidRDefault="00617421" w:rsidP="009D4381">
      <w:pPr>
        <w:pStyle w:val="Normalrglronly"/>
      </w:pPr>
      <w:r w:rsidRPr="00505C1E">
        <w:t xml:space="preserve">Responsible institution: </w:t>
      </w:r>
      <w:r w:rsidRPr="00505C1E">
        <w:rPr>
          <w:noProof/>
        </w:rPr>
        <w:t xml:space="preserve">Ministry of Justice of Georgia, Anti-Corruption Council </w:t>
      </w:r>
    </w:p>
    <w:p w:rsidR="00617421" w:rsidRPr="00505C1E" w:rsidRDefault="00617421" w:rsidP="009D4381">
      <w:pPr>
        <w:pStyle w:val="Normalrglronly"/>
      </w:pPr>
      <w:r w:rsidRPr="00505C1E">
        <w:t xml:space="preserve">Supporting institution(s): </w:t>
      </w:r>
      <w:r w:rsidRPr="00505C1E">
        <w:rPr>
          <w:noProof/>
        </w:rPr>
        <w:t>Parliament of Georgia, Open Society Foundation – Georgia, Institute for Development of Freedom of Information (IDFI)</w:t>
      </w:r>
    </w:p>
    <w:p w:rsidR="00617421" w:rsidRPr="00505C1E" w:rsidRDefault="00617421" w:rsidP="00505C1E">
      <w:pPr>
        <w:spacing w:after="120"/>
        <w:rPr>
          <w:szCs w:val="22"/>
        </w:rPr>
      </w:pPr>
      <w:r w:rsidRPr="00505C1E">
        <w:rPr>
          <w:szCs w:val="22"/>
        </w:rPr>
        <w:t>Start date: Not provided</w:t>
      </w:r>
      <w:r>
        <w:rPr>
          <w:szCs w:val="22"/>
        </w:rPr>
        <w:t xml:space="preserve">                            </w:t>
      </w:r>
      <w:r>
        <w:rPr>
          <w:szCs w:val="22"/>
        </w:rPr>
        <w:tab/>
      </w:r>
      <w:r w:rsidRPr="00505C1E">
        <w:rPr>
          <w:szCs w:val="22"/>
        </w:rPr>
        <w:t>End date: December 2017</w:t>
      </w:r>
    </w:p>
    <w:p w:rsidR="00617421" w:rsidRDefault="00617421" w:rsidP="009D4381">
      <w:pPr>
        <w:rPr>
          <w:szCs w:val="22"/>
        </w:rPr>
      </w:pPr>
    </w:p>
    <w:tbl>
      <w:tblPr>
        <w:tblW w:w="1097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2"/>
        <w:gridCol w:w="270"/>
        <w:gridCol w:w="540"/>
        <w:gridCol w:w="781"/>
        <w:gridCol w:w="29"/>
        <w:gridCol w:w="207"/>
        <w:gridCol w:w="574"/>
        <w:gridCol w:w="450"/>
        <w:gridCol w:w="360"/>
        <w:gridCol w:w="540"/>
        <w:gridCol w:w="450"/>
        <w:gridCol w:w="630"/>
        <w:gridCol w:w="461"/>
        <w:gridCol w:w="360"/>
        <w:gridCol w:w="540"/>
        <w:gridCol w:w="476"/>
        <w:gridCol w:w="342"/>
        <w:gridCol w:w="343"/>
      </w:tblGrid>
      <w:tr w:rsidR="00617421" w:rsidRPr="004B1C12" w:rsidTr="00FB2825">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5"/>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5"/>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FB2825">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5"/>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5"/>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FB2825">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282"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540"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781"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236" w:type="dxa"/>
            <w:gridSpan w:val="2"/>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574"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696094" w:rsidRPr="004B1C12" w:rsidTr="00FB2825">
        <w:trPr>
          <w:trHeight w:val="600"/>
        </w:trPr>
        <w:tc>
          <w:tcPr>
            <w:tcW w:w="1596" w:type="dxa"/>
            <w:vMerge w:val="restart"/>
            <w:tcBorders>
              <w:top w:val="single" w:sz="18" w:space="0" w:color="FFFFFF"/>
              <w:left w:val="single" w:sz="4" w:space="0" w:color="FFFFFF"/>
            </w:tcBorders>
            <w:shd w:val="clear" w:color="auto" w:fill="000000"/>
            <w:vAlign w:val="center"/>
          </w:tcPr>
          <w:p w:rsidR="00696094" w:rsidRPr="0010229D" w:rsidRDefault="00696094" w:rsidP="00C60967">
            <w:pPr>
              <w:rPr>
                <w:color w:val="FFFFFF" w:themeColor="background1"/>
              </w:rPr>
            </w:pPr>
            <w:r w:rsidRPr="008536D2">
              <w:rPr>
                <w:color w:val="FFFFFF" w:themeColor="background1"/>
              </w:rPr>
              <w:lastRenderedPageBreak/>
              <w:t>7. Development of the Freedom of Information Law</w:t>
            </w:r>
          </w:p>
        </w:tc>
        <w:tc>
          <w:tcPr>
            <w:tcW w:w="445" w:type="dxa"/>
            <w:vMerge w:val="restart"/>
            <w:tcBorders>
              <w:top w:val="single" w:sz="18" w:space="0" w:color="FFFFFF"/>
              <w:right w:val="single" w:sz="2" w:space="0" w:color="FFFFFF"/>
            </w:tcBorders>
            <w:shd w:val="clear" w:color="auto" w:fill="D6E3BC"/>
            <w:vAlign w:val="center"/>
          </w:tcPr>
          <w:p w:rsidR="00696094" w:rsidRPr="0010229D" w:rsidRDefault="00696094"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96094" w:rsidRPr="0010229D" w:rsidRDefault="00696094"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96094" w:rsidRPr="0010229D" w:rsidRDefault="00696094"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96094" w:rsidRPr="0010229D" w:rsidRDefault="00696094" w:rsidP="00C60967">
            <w:r w:rsidRPr="0010229D">
              <w:rPr>
                <w:rFonts w:ascii="MS Mincho" w:eastAsia="MS Mincho" w:hAnsi="MS Mincho" w:cs="MS Mincho"/>
                <w:sz w:val="20"/>
              </w:rPr>
              <w:t>✔</w:t>
            </w:r>
          </w:p>
        </w:tc>
        <w:tc>
          <w:tcPr>
            <w:tcW w:w="401" w:type="dxa"/>
            <w:gridSpan w:val="2"/>
            <w:vMerge w:val="restart"/>
            <w:tcBorders>
              <w:top w:val="single" w:sz="18" w:space="0" w:color="FFFFFF"/>
              <w:left w:val="single" w:sz="2" w:space="0" w:color="FFFFFF"/>
              <w:right w:val="single" w:sz="2" w:space="0" w:color="FFFFFF"/>
            </w:tcBorders>
            <w:shd w:val="clear" w:color="auto" w:fill="FBD4B4"/>
            <w:vAlign w:val="center"/>
          </w:tcPr>
          <w:p w:rsidR="00696094" w:rsidRPr="0010229D" w:rsidRDefault="00696094" w:rsidP="00C60967">
            <w:r w:rsidRPr="0010229D">
              <w:rPr>
                <w:rFonts w:ascii="MS Mincho" w:eastAsia="MS Mincho" w:hAnsi="MS Mincho" w:cs="MS Mincho"/>
                <w:sz w:val="20"/>
              </w:rPr>
              <w:t>✔</w:t>
            </w:r>
          </w:p>
        </w:tc>
        <w:tc>
          <w:tcPr>
            <w:tcW w:w="270" w:type="dxa"/>
            <w:vMerge w:val="restart"/>
            <w:tcBorders>
              <w:top w:val="single" w:sz="18" w:space="0" w:color="FFFFFF"/>
              <w:left w:val="single" w:sz="2" w:space="0" w:color="FFFFFF"/>
              <w:right w:val="single" w:sz="2" w:space="0" w:color="FFFFFF"/>
            </w:tcBorders>
            <w:shd w:val="clear" w:color="auto" w:fill="FBD4B4"/>
            <w:vAlign w:val="center"/>
          </w:tcPr>
          <w:p w:rsidR="00696094" w:rsidRPr="0010229D" w:rsidRDefault="00696094" w:rsidP="00C60967"/>
        </w:tc>
        <w:tc>
          <w:tcPr>
            <w:tcW w:w="540" w:type="dxa"/>
            <w:vMerge w:val="restart"/>
            <w:tcBorders>
              <w:top w:val="single" w:sz="18" w:space="0" w:color="FFFFFF"/>
              <w:left w:val="single" w:sz="2" w:space="0" w:color="FFFFFF"/>
              <w:right w:val="single" w:sz="2" w:space="0" w:color="FFFFFF"/>
            </w:tcBorders>
            <w:shd w:val="clear" w:color="auto" w:fill="FBD4B4"/>
            <w:vAlign w:val="center"/>
          </w:tcPr>
          <w:p w:rsidR="00696094" w:rsidRPr="0010229D" w:rsidRDefault="00696094" w:rsidP="00C60967">
            <w:r w:rsidRPr="0010229D">
              <w:rPr>
                <w:rFonts w:ascii="MS Mincho" w:eastAsia="MS Mincho" w:hAnsi="MS Mincho" w:cs="MS Mincho"/>
                <w:sz w:val="20"/>
              </w:rPr>
              <w:t>✔</w:t>
            </w:r>
          </w:p>
        </w:tc>
        <w:tc>
          <w:tcPr>
            <w:tcW w:w="810" w:type="dxa"/>
            <w:gridSpan w:val="2"/>
            <w:vMerge w:val="restart"/>
            <w:tcBorders>
              <w:top w:val="single" w:sz="18" w:space="0" w:color="FFFFFF"/>
              <w:left w:val="single" w:sz="2" w:space="0" w:color="FFFFFF"/>
              <w:right w:val="single" w:sz="2" w:space="0" w:color="FFFFFF"/>
            </w:tcBorders>
            <w:shd w:val="clear" w:color="auto" w:fill="FBD4B4"/>
            <w:vAlign w:val="center"/>
          </w:tcPr>
          <w:p w:rsidR="00696094" w:rsidRPr="0010229D" w:rsidRDefault="00696094" w:rsidP="00C60967"/>
        </w:tc>
        <w:tc>
          <w:tcPr>
            <w:tcW w:w="781" w:type="dxa"/>
            <w:gridSpan w:val="2"/>
            <w:vMerge w:val="restart"/>
            <w:tcBorders>
              <w:top w:val="single" w:sz="18" w:space="0" w:color="FFFFFF"/>
              <w:left w:val="single" w:sz="2" w:space="0" w:color="FFFFFF"/>
              <w:right w:val="single" w:sz="2" w:space="0" w:color="FFFFFF"/>
            </w:tcBorders>
            <w:shd w:val="clear" w:color="auto" w:fill="CCC0D9"/>
            <w:vAlign w:val="center"/>
          </w:tcPr>
          <w:p w:rsidR="00696094" w:rsidRPr="0010229D" w:rsidRDefault="00696094"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96094" w:rsidRPr="0010229D" w:rsidRDefault="00696094"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96094" w:rsidRPr="0010229D" w:rsidRDefault="00696094" w:rsidP="00C60967">
            <w:r w:rsidRPr="0010229D">
              <w:rPr>
                <w:rFonts w:ascii="MS Mincho" w:eastAsia="MS Mincho" w:hAnsi="MS Mincho" w:cs="MS Mincho"/>
                <w:sz w:val="20"/>
              </w:rPr>
              <w:t>✔</w:t>
            </w:r>
          </w:p>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696094" w:rsidRPr="0010229D" w:rsidRDefault="00696094"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96094" w:rsidRPr="0010229D" w:rsidRDefault="00696094"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96094" w:rsidRPr="0010229D" w:rsidRDefault="00696094"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96094" w:rsidRPr="0010229D" w:rsidRDefault="00696094"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96094" w:rsidRPr="0010229D" w:rsidRDefault="00696094"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96094" w:rsidRPr="0010229D" w:rsidRDefault="00696094"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96094" w:rsidRPr="0010229D" w:rsidRDefault="00696094"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96094" w:rsidRPr="0010229D" w:rsidRDefault="00696094" w:rsidP="00C60967"/>
        </w:tc>
        <w:tc>
          <w:tcPr>
            <w:tcW w:w="343" w:type="dxa"/>
            <w:vMerge w:val="restart"/>
            <w:tcBorders>
              <w:top w:val="single" w:sz="18" w:space="0" w:color="FFFFFF"/>
              <w:left w:val="single" w:sz="2" w:space="0" w:color="FFFFFF"/>
              <w:right w:val="single" w:sz="18" w:space="0" w:color="FFFFFF"/>
            </w:tcBorders>
            <w:shd w:val="clear" w:color="auto" w:fill="D99594"/>
          </w:tcPr>
          <w:p w:rsidR="00696094" w:rsidRPr="0010229D" w:rsidRDefault="00696094" w:rsidP="00C60967"/>
        </w:tc>
      </w:tr>
      <w:tr w:rsidR="00696094" w:rsidRPr="004B1C12" w:rsidTr="00FB2825">
        <w:trPr>
          <w:trHeight w:val="636"/>
        </w:trPr>
        <w:tc>
          <w:tcPr>
            <w:tcW w:w="1596" w:type="dxa"/>
            <w:vMerge/>
            <w:tcBorders>
              <w:left w:val="nil"/>
              <w:bottom w:val="single" w:sz="18" w:space="0" w:color="FFFFFF"/>
            </w:tcBorders>
            <w:shd w:val="clear" w:color="auto" w:fill="000000"/>
            <w:vAlign w:val="center"/>
          </w:tcPr>
          <w:p w:rsidR="00696094" w:rsidRPr="0010229D" w:rsidRDefault="00696094" w:rsidP="00C60967"/>
        </w:tc>
        <w:tc>
          <w:tcPr>
            <w:tcW w:w="445" w:type="dxa"/>
            <w:vMerge/>
            <w:tcBorders>
              <w:bottom w:val="single" w:sz="18" w:space="0" w:color="FFFFFF"/>
              <w:right w:val="single" w:sz="2" w:space="0" w:color="FFFFFF"/>
            </w:tcBorders>
            <w:shd w:val="clear" w:color="auto" w:fill="D6E3BC"/>
            <w:vAlign w:val="center"/>
          </w:tcPr>
          <w:p w:rsidR="00696094" w:rsidRPr="0010229D" w:rsidRDefault="00696094"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696094" w:rsidRPr="0010229D" w:rsidRDefault="00696094"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696094" w:rsidRPr="0010229D" w:rsidRDefault="00696094"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696094" w:rsidRPr="0010229D" w:rsidRDefault="00696094" w:rsidP="00C60967"/>
        </w:tc>
        <w:tc>
          <w:tcPr>
            <w:tcW w:w="401" w:type="dxa"/>
            <w:gridSpan w:val="2"/>
            <w:vMerge/>
            <w:tcBorders>
              <w:left w:val="single" w:sz="2" w:space="0" w:color="FFFFFF"/>
              <w:bottom w:val="single" w:sz="18" w:space="0" w:color="FFFFFF"/>
              <w:right w:val="single" w:sz="2" w:space="0" w:color="FFFFFF"/>
            </w:tcBorders>
            <w:shd w:val="clear" w:color="auto" w:fill="FBD4B4"/>
            <w:vAlign w:val="center"/>
          </w:tcPr>
          <w:p w:rsidR="00696094" w:rsidRPr="0010229D" w:rsidRDefault="00696094" w:rsidP="00C60967"/>
        </w:tc>
        <w:tc>
          <w:tcPr>
            <w:tcW w:w="270" w:type="dxa"/>
            <w:vMerge/>
            <w:tcBorders>
              <w:left w:val="single" w:sz="2" w:space="0" w:color="FFFFFF"/>
              <w:bottom w:val="single" w:sz="18" w:space="0" w:color="FFFFFF"/>
              <w:right w:val="single" w:sz="2" w:space="0" w:color="FFFFFF"/>
            </w:tcBorders>
            <w:shd w:val="clear" w:color="auto" w:fill="FBD4B4"/>
            <w:vAlign w:val="center"/>
          </w:tcPr>
          <w:p w:rsidR="00696094" w:rsidRPr="0010229D" w:rsidRDefault="00696094" w:rsidP="00C60967"/>
        </w:tc>
        <w:tc>
          <w:tcPr>
            <w:tcW w:w="540" w:type="dxa"/>
            <w:vMerge/>
            <w:tcBorders>
              <w:left w:val="single" w:sz="2" w:space="0" w:color="FFFFFF"/>
              <w:bottom w:val="single" w:sz="18" w:space="0" w:color="FFFFFF"/>
              <w:right w:val="single" w:sz="2" w:space="0" w:color="FFFFFF"/>
            </w:tcBorders>
            <w:shd w:val="clear" w:color="auto" w:fill="FBD4B4"/>
            <w:vAlign w:val="center"/>
          </w:tcPr>
          <w:p w:rsidR="00696094" w:rsidRPr="0010229D" w:rsidRDefault="00696094" w:rsidP="00C60967"/>
        </w:tc>
        <w:tc>
          <w:tcPr>
            <w:tcW w:w="810" w:type="dxa"/>
            <w:gridSpan w:val="2"/>
            <w:vMerge/>
            <w:tcBorders>
              <w:left w:val="single" w:sz="2" w:space="0" w:color="FFFFFF"/>
              <w:bottom w:val="single" w:sz="18" w:space="0" w:color="FFFFFF"/>
              <w:right w:val="single" w:sz="2" w:space="0" w:color="FFFFFF"/>
            </w:tcBorders>
            <w:shd w:val="clear" w:color="auto" w:fill="FBD4B4"/>
            <w:vAlign w:val="center"/>
          </w:tcPr>
          <w:p w:rsidR="00696094" w:rsidRPr="0010229D" w:rsidRDefault="00696094" w:rsidP="00C60967"/>
        </w:tc>
        <w:tc>
          <w:tcPr>
            <w:tcW w:w="781" w:type="dxa"/>
            <w:gridSpan w:val="2"/>
            <w:vMerge/>
            <w:tcBorders>
              <w:left w:val="single" w:sz="2" w:space="0" w:color="FFFFFF"/>
              <w:bottom w:val="single" w:sz="18" w:space="0" w:color="FFFFFF"/>
              <w:right w:val="single" w:sz="2" w:space="0" w:color="FFFFFF"/>
            </w:tcBorders>
            <w:shd w:val="clear" w:color="auto" w:fill="CCC0D9"/>
            <w:vAlign w:val="center"/>
          </w:tcPr>
          <w:p w:rsidR="00696094" w:rsidRPr="0010229D" w:rsidRDefault="00696094"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696094" w:rsidRPr="0010229D" w:rsidRDefault="00696094"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696094" w:rsidRPr="0010229D" w:rsidRDefault="00696094"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696094" w:rsidRPr="0010229D" w:rsidRDefault="00696094"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696094" w:rsidRPr="0010229D" w:rsidRDefault="00696094"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rsidR="00696094" w:rsidRPr="0010229D" w:rsidRDefault="00696094"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rsidR="00696094" w:rsidRPr="0010229D" w:rsidRDefault="00696094"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rsidR="00696094" w:rsidRPr="0010229D" w:rsidRDefault="00696094"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rsidR="00696094" w:rsidRPr="0010229D" w:rsidRDefault="00696094"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rsidR="00696094" w:rsidRPr="0010229D" w:rsidRDefault="00696094"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rsidR="00696094" w:rsidRPr="0010229D" w:rsidRDefault="00696094" w:rsidP="00C60967"/>
        </w:tc>
        <w:tc>
          <w:tcPr>
            <w:tcW w:w="343" w:type="dxa"/>
            <w:vMerge/>
            <w:tcBorders>
              <w:left w:val="single" w:sz="2" w:space="0" w:color="FFFFFF"/>
              <w:bottom w:val="single" w:sz="18" w:space="0" w:color="FFFFFF"/>
              <w:right w:val="single" w:sz="18" w:space="0" w:color="FFFFFF"/>
            </w:tcBorders>
            <w:shd w:val="clear" w:color="auto" w:fill="D99594"/>
          </w:tcPr>
          <w:p w:rsidR="00696094" w:rsidRPr="0010229D" w:rsidRDefault="00696094" w:rsidP="00C60967"/>
        </w:tc>
      </w:tr>
    </w:tbl>
    <w:p w:rsidR="00617421" w:rsidRDefault="00617421" w:rsidP="009D4381">
      <w:pPr>
        <w:rPr>
          <w:lang w:val="en-GB"/>
        </w:rPr>
      </w:pPr>
    </w:p>
    <w:p w:rsidR="00617421" w:rsidRDefault="00617421" w:rsidP="00FE5928">
      <w:pPr>
        <w:pStyle w:val="Heading3"/>
      </w:pPr>
      <w:r w:rsidRPr="0010229D">
        <w:t xml:space="preserve">Commitment </w:t>
      </w:r>
      <w:r w:rsidRPr="004B1C12">
        <w:t>A</w:t>
      </w:r>
      <w:r w:rsidRPr="0010229D">
        <w:t>im:</w:t>
      </w:r>
    </w:p>
    <w:p w:rsidR="00617421" w:rsidRDefault="00617421" w:rsidP="008536D2">
      <w:r>
        <w:t xml:space="preserve">Under this long pre-existing commitment, </w:t>
      </w:r>
      <w:r w:rsidRPr="008536D2">
        <w:t xml:space="preserve">the </w:t>
      </w:r>
      <w:r>
        <w:t>Ministry of Justice</w:t>
      </w:r>
      <w:r w:rsidRPr="008536D2">
        <w:t xml:space="preserve"> pledged to </w:t>
      </w:r>
      <w:r>
        <w:t xml:space="preserve">finalize the </w:t>
      </w:r>
      <w:r w:rsidRPr="008536D2">
        <w:t xml:space="preserve">draft </w:t>
      </w:r>
      <w:r>
        <w:t xml:space="preserve">of </w:t>
      </w:r>
      <w:r w:rsidRPr="008536D2">
        <w:t xml:space="preserve">a </w:t>
      </w:r>
      <w:r w:rsidR="00A501B9">
        <w:t xml:space="preserve">standalone </w:t>
      </w:r>
      <w:r w:rsidRPr="008536D2">
        <w:t>F</w:t>
      </w:r>
      <w:r>
        <w:t xml:space="preserve">reedom of Information (FoI) law, discuss it within the Government </w:t>
      </w:r>
      <w:r w:rsidRPr="008536D2">
        <w:t xml:space="preserve">and submit it to the Parliament for adoption. </w:t>
      </w:r>
      <w:r>
        <w:t xml:space="preserve"> </w:t>
      </w:r>
    </w:p>
    <w:p w:rsidR="00617421" w:rsidRPr="0010229D" w:rsidRDefault="00617421" w:rsidP="00FE5928">
      <w:pPr>
        <w:pStyle w:val="Heading3"/>
      </w:pPr>
      <w:r w:rsidRPr="0010229D">
        <w:t>Status</w:t>
      </w:r>
    </w:p>
    <w:p w:rsidR="00617421" w:rsidRDefault="00617421" w:rsidP="008536D2">
      <w:pPr>
        <w:pStyle w:val="Normalrglronly"/>
        <w:rPr>
          <w:b/>
          <w:color w:val="000000" w:themeColor="text1"/>
        </w:rPr>
      </w:pPr>
      <w:r w:rsidRPr="004B1C12">
        <w:rPr>
          <w:b/>
        </w:rPr>
        <w:t xml:space="preserve">Midterm: </w:t>
      </w:r>
      <w:r w:rsidRPr="004B1C12">
        <w:rPr>
          <w:b/>
          <w:color w:val="000000" w:themeColor="text1"/>
        </w:rPr>
        <w:t>Limited</w:t>
      </w:r>
    </w:p>
    <w:p w:rsidR="00617421" w:rsidRDefault="00617421" w:rsidP="0028294A">
      <w:r w:rsidRPr="008536D2">
        <w:t xml:space="preserve">At the mid-term, the commitment </w:t>
      </w:r>
      <w:r w:rsidR="00FD5BEB">
        <w:t>had seen</w:t>
      </w:r>
      <w:r w:rsidR="00FD5BEB" w:rsidRPr="008536D2">
        <w:t xml:space="preserve"> </w:t>
      </w:r>
      <w:r w:rsidRPr="008536D2">
        <w:t xml:space="preserve">limited implementation since the updated draft was not </w:t>
      </w:r>
      <w:r>
        <w:t>approved by</w:t>
      </w:r>
      <w:r w:rsidRPr="008536D2">
        <w:t xml:space="preserve"> the Government</w:t>
      </w:r>
      <w:r>
        <w:t xml:space="preserve"> and submitted to the Parliament</w:t>
      </w:r>
      <w:r w:rsidRPr="008536D2">
        <w:t xml:space="preserve">. </w:t>
      </w:r>
      <w:r>
        <w:t>This draft envisaged the following: introduction of</w:t>
      </w:r>
      <w:r w:rsidRPr="008536D2">
        <w:t xml:space="preserve"> an independent oversight body, Freedom of Information Commissioner, with the authority to issue administrative fines to agencies that viola</w:t>
      </w:r>
      <w:r>
        <w:t>te the FoI legislation; creation of</w:t>
      </w:r>
      <w:r w:rsidRPr="008536D2">
        <w:t xml:space="preserve"> a unified registry to categorize and manage public information, and </w:t>
      </w:r>
      <w:r>
        <w:t>to allow</w:t>
      </w:r>
      <w:r w:rsidRPr="008536D2">
        <w:t xml:space="preserve"> quick an</w:t>
      </w:r>
      <w:r>
        <w:t>d simple access to it; expansion of</w:t>
      </w:r>
      <w:r w:rsidRPr="008536D2">
        <w:t xml:space="preserve"> the list of agencies responsible for granting access to information, including s</w:t>
      </w:r>
      <w:r>
        <w:t>tate-owned enterprises; reduction of</w:t>
      </w:r>
      <w:r w:rsidRPr="008536D2">
        <w:t xml:space="preserve"> the number of working days from ten to three for issuing readily ava</w:t>
      </w:r>
      <w:r>
        <w:t>ilable information; and obligation of</w:t>
      </w:r>
      <w:r w:rsidRPr="008536D2">
        <w:t xml:space="preserve"> </w:t>
      </w:r>
      <w:r>
        <w:t xml:space="preserve">public agencies to publish their data on the unified open data portal, data.gov.ge, as well as their obligation to </w:t>
      </w:r>
      <w:r w:rsidRPr="008536D2">
        <w:t>explain the damage that could be inflicted on the state and society by publish</w:t>
      </w:r>
      <w:r>
        <w:t xml:space="preserve">ing the classified information and </w:t>
      </w:r>
      <w:r w:rsidRPr="008536D2">
        <w:t>to declassify secret information that is in high public demand</w:t>
      </w:r>
      <w:r>
        <w:t xml:space="preserve">.  </w:t>
      </w:r>
      <w:r w:rsidRPr="001A0062">
        <w:rPr>
          <w:i/>
          <w:color w:val="4F81BD" w:themeColor="accent1"/>
        </w:rPr>
        <w:t xml:space="preserve"> </w:t>
      </w:r>
    </w:p>
    <w:p w:rsidR="00617421" w:rsidRDefault="00617421" w:rsidP="008536D2">
      <w:pPr>
        <w:pStyle w:val="Normalrglronly"/>
      </w:pPr>
    </w:p>
    <w:p w:rsidR="00617421" w:rsidRPr="00A728F1" w:rsidRDefault="00617421" w:rsidP="008536D2">
      <w:pPr>
        <w:pStyle w:val="Normalrglronly"/>
        <w:rPr>
          <w:rFonts w:ascii="Sylfaen" w:hAnsi="Sylfaen"/>
          <w:b/>
          <w:lang w:val="ka-GE"/>
        </w:rPr>
      </w:pPr>
      <w:r>
        <w:t xml:space="preserve">The MoJ put this draft </w:t>
      </w:r>
      <w:r w:rsidRPr="008536D2">
        <w:t xml:space="preserve">on hold for more than two years. Only in May 2017, the Ministry shared the updated draft with all relevant stakeholders, including the Anti-Corruption Council and the members of the working group and the OGP Forum. </w:t>
      </w:r>
      <w:r>
        <w:t>The updated draft was largely based on the previous draft and contained all key provisions discussed above. The Ministry</w:t>
      </w:r>
      <w:r w:rsidRPr="008536D2">
        <w:t xml:space="preserve"> received numerous comments on this draft </w:t>
      </w:r>
      <w:r>
        <w:t>and was</w:t>
      </w:r>
      <w:r w:rsidRPr="008536D2">
        <w:t xml:space="preserve"> in the process of addressing those comments. </w:t>
      </w:r>
      <w:r>
        <w:t xml:space="preserve">They also held </w:t>
      </w:r>
      <w:r w:rsidRPr="008536D2">
        <w:t>bilateral meetings with different public agencies to explain them the novelties proposed. The MoJ planned to submit the ne</w:t>
      </w:r>
      <w:r>
        <w:t>w draft to the Government by</w:t>
      </w:r>
      <w:r w:rsidRPr="008536D2">
        <w:t xml:space="preserve"> end</w:t>
      </w:r>
      <w:r>
        <w:t xml:space="preserve"> of 2017</w:t>
      </w:r>
      <w:r w:rsidRPr="00AA58AD">
        <w:t>.</w:t>
      </w:r>
      <w:r>
        <w:rPr>
          <w:rFonts w:ascii="Sylfaen" w:hAnsi="Sylfaen"/>
          <w:lang w:val="ka-GE"/>
        </w:rPr>
        <w:t xml:space="preserve"> </w:t>
      </w:r>
    </w:p>
    <w:p w:rsidR="00617421" w:rsidRPr="004B1C12" w:rsidRDefault="00617421" w:rsidP="008536D2">
      <w:pPr>
        <w:pStyle w:val="Normalrglronly"/>
        <w:rPr>
          <w:b/>
          <w:color w:val="000000" w:themeColor="text1"/>
        </w:rPr>
      </w:pPr>
      <w:r w:rsidRPr="004B1C12">
        <w:rPr>
          <w:b/>
        </w:rPr>
        <w:t xml:space="preserve">End of term: </w:t>
      </w:r>
      <w:r>
        <w:rPr>
          <w:b/>
          <w:color w:val="000000" w:themeColor="text1"/>
        </w:rPr>
        <w:t>Limited</w:t>
      </w:r>
    </w:p>
    <w:p w:rsidR="00617421" w:rsidRPr="00BD6972" w:rsidRDefault="00617421" w:rsidP="008536D2">
      <w:pPr>
        <w:pStyle w:val="Normalrglronly"/>
        <w:rPr>
          <w:rFonts w:ascii="Sylfaen" w:hAnsi="Sylfaen"/>
          <w:color w:val="auto"/>
          <w:shd w:val="clear" w:color="auto" w:fill="FFFFFF"/>
          <w:lang w:val="ka-GE"/>
        </w:rPr>
      </w:pPr>
      <w:r w:rsidRPr="00BA7B59">
        <w:rPr>
          <w:color w:val="auto"/>
          <w:shd w:val="clear" w:color="auto" w:fill="FFFFFF"/>
        </w:rPr>
        <w:t xml:space="preserve">No major progress has been made since the mid-term evaluation. The MoJ was in the process of </w:t>
      </w:r>
      <w:r>
        <w:rPr>
          <w:color w:val="auto"/>
          <w:shd w:val="clear" w:color="auto" w:fill="FFFFFF"/>
        </w:rPr>
        <w:t xml:space="preserve">consultations with all relevant public agencies who had numerous reservations on the novelties proposed by the draft, especially those regarding the </w:t>
      </w:r>
      <w:r w:rsidR="00542FE0" w:rsidRPr="008536D2">
        <w:t>Freedom of Information Commissioner</w:t>
      </w:r>
      <w:r>
        <w:rPr>
          <w:color w:val="auto"/>
          <w:shd w:val="clear" w:color="auto" w:fill="FFFFFF"/>
        </w:rPr>
        <w:t xml:space="preserve">. The law enforcement agencies are particularly sensitive to the implementation of this </w:t>
      </w:r>
      <w:r w:rsidR="00542FE0">
        <w:rPr>
          <w:color w:val="auto"/>
          <w:shd w:val="clear" w:color="auto" w:fill="FFFFFF"/>
        </w:rPr>
        <w:t xml:space="preserve">oversight </w:t>
      </w:r>
      <w:r>
        <w:rPr>
          <w:color w:val="auto"/>
          <w:shd w:val="clear" w:color="auto" w:fill="FFFFFF"/>
        </w:rPr>
        <w:t xml:space="preserve">mechanism and the public interest test - </w:t>
      </w:r>
      <w:r>
        <w:t xml:space="preserve">obligation of public agencies to </w:t>
      </w:r>
      <w:r w:rsidRPr="008536D2">
        <w:t>explain the damage that could be inflicted on the state and society by publish</w:t>
      </w:r>
      <w:r>
        <w:t xml:space="preserve">ing the classified information and </w:t>
      </w:r>
      <w:r w:rsidRPr="008536D2">
        <w:t>to declassify secret information that is in high public demand</w:t>
      </w:r>
      <w:r>
        <w:t xml:space="preserve"> - </w:t>
      </w:r>
      <w:r>
        <w:rPr>
          <w:color w:val="auto"/>
          <w:shd w:val="clear" w:color="auto" w:fill="FFFFFF"/>
        </w:rPr>
        <w:t>especially with regard to the information that is classified under the state security clauses.</w:t>
      </w:r>
      <w:r>
        <w:rPr>
          <w:rStyle w:val="EndnoteReference"/>
          <w:color w:val="auto"/>
          <w:shd w:val="clear" w:color="auto" w:fill="FFFFFF"/>
        </w:rPr>
        <w:endnoteReference w:id="30"/>
      </w:r>
      <w:r>
        <w:rPr>
          <w:color w:val="auto"/>
          <w:shd w:val="clear" w:color="auto" w:fill="FFFFFF"/>
        </w:rPr>
        <w:t xml:space="preserve"> </w:t>
      </w:r>
      <w:r w:rsidR="00E47CFD">
        <w:t>The MoJ consulted public agencies on the new draft due to the complexity and sensitivity of the proposed provisions. The CSOs provided comments, however, the MoJ did not get back to them with their feedback and CSOs were disappointed with the process.</w:t>
      </w:r>
    </w:p>
    <w:p w:rsidR="00617421" w:rsidRPr="0010229D" w:rsidRDefault="00617421" w:rsidP="00FE5928">
      <w:pPr>
        <w:pStyle w:val="Heading3"/>
      </w:pPr>
      <w:r w:rsidRPr="0010229D">
        <w:lastRenderedPageBreak/>
        <w:t xml:space="preserve">Did </w:t>
      </w:r>
      <w:r w:rsidRPr="004B1C12">
        <w:t>I</w:t>
      </w:r>
      <w:r w:rsidRPr="0010229D">
        <w:t xml:space="preserve">t </w:t>
      </w:r>
      <w:r w:rsidRPr="004B1C12">
        <w:t>O</w:t>
      </w:r>
      <w:r w:rsidRPr="0010229D">
        <w:t xml:space="preserve">pen </w:t>
      </w:r>
      <w:r w:rsidRPr="004B1C12">
        <w:t>G</w:t>
      </w:r>
      <w:r w:rsidRPr="0010229D">
        <w:t>overnment?</w:t>
      </w:r>
    </w:p>
    <w:p w:rsidR="00617421" w:rsidRDefault="00617421" w:rsidP="008536D2">
      <w:pPr>
        <w:rPr>
          <w:b/>
          <w:color w:val="000000" w:themeColor="text1"/>
        </w:rPr>
      </w:pPr>
      <w:r w:rsidRPr="004B1C12">
        <w:rPr>
          <w:b/>
          <w:color w:val="000000" w:themeColor="text1"/>
        </w:rPr>
        <w:t>Access to I</w:t>
      </w:r>
      <w:r>
        <w:rPr>
          <w:b/>
          <w:color w:val="000000" w:themeColor="text1"/>
        </w:rPr>
        <w:t xml:space="preserve">nformation: </w:t>
      </w:r>
      <w:r w:rsidRPr="00184E05">
        <w:rPr>
          <w:b/>
          <w:color w:val="000000" w:themeColor="text1"/>
        </w:rPr>
        <w:t>Did Not Change</w:t>
      </w:r>
    </w:p>
    <w:p w:rsidR="00617421" w:rsidRDefault="00617421" w:rsidP="008536D2">
      <w:pPr>
        <w:rPr>
          <w:b/>
          <w:color w:val="000000" w:themeColor="text1"/>
        </w:rPr>
      </w:pPr>
    </w:p>
    <w:p w:rsidR="00617421" w:rsidRPr="00327C1E" w:rsidRDefault="00617421" w:rsidP="008536D2">
      <w:pPr>
        <w:rPr>
          <w:color w:val="000000" w:themeColor="text1"/>
        </w:rPr>
      </w:pPr>
      <w:r>
        <w:rPr>
          <w:color w:val="000000" w:themeColor="text1"/>
        </w:rPr>
        <w:t xml:space="preserve">Given the existing FoI draft law has not been approved by the Government and submitted to the Parliament, as of October 2018, there has not been any change in government practice regarding the improvement in access to information and public accountability.  </w:t>
      </w:r>
    </w:p>
    <w:p w:rsidR="00617421" w:rsidRPr="004B1C12" w:rsidRDefault="00617421" w:rsidP="008536D2">
      <w:pPr>
        <w:rPr>
          <w:b/>
          <w:color w:val="000000" w:themeColor="text1"/>
        </w:rPr>
      </w:pPr>
    </w:p>
    <w:p w:rsidR="00617421" w:rsidRPr="00327C1E" w:rsidRDefault="00617421" w:rsidP="00FE5928">
      <w:pPr>
        <w:pStyle w:val="Heading3"/>
      </w:pPr>
      <w:r w:rsidRPr="0010229D">
        <w:t xml:space="preserve">Carried </w:t>
      </w:r>
      <w:r w:rsidRPr="004B1C12">
        <w:t>F</w:t>
      </w:r>
      <w:r w:rsidRPr="0010229D">
        <w:t>orward?</w:t>
      </w:r>
    </w:p>
    <w:p w:rsidR="00617421" w:rsidRDefault="00157E03" w:rsidP="00AE3005">
      <w:pPr>
        <w:pStyle w:val="Normalrglronly"/>
        <w:rPr>
          <w:rFonts w:cs="Times New Roman"/>
        </w:rPr>
      </w:pPr>
      <w:r w:rsidRPr="00407534">
        <w:rPr>
          <w:color w:val="000000" w:themeColor="text1"/>
        </w:rPr>
        <w:t>The commitment was not carried into the new Action Plan 2018-20</w:t>
      </w:r>
      <w:r w:rsidR="00A501B9">
        <w:rPr>
          <w:color w:val="000000" w:themeColor="text1"/>
        </w:rPr>
        <w:t>19</w:t>
      </w:r>
      <w:r w:rsidR="00617421">
        <w:rPr>
          <w:lang w:val="en-GB"/>
        </w:rPr>
        <w:t xml:space="preserve">. </w:t>
      </w:r>
      <w:r w:rsidR="00542FE0">
        <w:rPr>
          <w:lang w:val="en-GB"/>
        </w:rPr>
        <w:t>Civil society</w:t>
      </w:r>
      <w:r w:rsidR="00617421">
        <w:rPr>
          <w:lang w:val="en-GB"/>
        </w:rPr>
        <w:t xml:space="preserve"> </w:t>
      </w:r>
      <w:r w:rsidR="00617421">
        <w:t xml:space="preserve">provided the government with important recommendations for improving the access to information in Georgia. </w:t>
      </w:r>
    </w:p>
    <w:p w:rsidR="00617421" w:rsidRDefault="00617421" w:rsidP="006D04DF">
      <w:pPr>
        <w:pStyle w:val="Normalrglronly"/>
        <w:numPr>
          <w:ilvl w:val="0"/>
          <w:numId w:val="8"/>
        </w:numPr>
      </w:pPr>
      <w:r>
        <w:t xml:space="preserve">The existing draft FoI law should be adopted promptly, including all key novel provisions discussed above. These provisions should also apply to companies founded by the state or having 50 percent or more state ownership shares as well as to individual state-funded entrepreneurs performing public functions. </w:t>
      </w:r>
    </w:p>
    <w:p w:rsidR="00617421" w:rsidRDefault="00617421" w:rsidP="006D04DF">
      <w:pPr>
        <w:pStyle w:val="Normalrglronly"/>
        <w:numPr>
          <w:ilvl w:val="0"/>
          <w:numId w:val="8"/>
        </w:numPr>
      </w:pPr>
      <w:r>
        <w:t xml:space="preserve">The government needs to expand the list of information that needs to be published proactively, including broken-down data on individual salaries, bonuses, and business trip allowances of public servants. </w:t>
      </w:r>
    </w:p>
    <w:p w:rsidR="00617421" w:rsidRPr="006E1124" w:rsidRDefault="00617421" w:rsidP="006D04DF">
      <w:pPr>
        <w:pStyle w:val="Normalrglronly"/>
        <w:numPr>
          <w:ilvl w:val="0"/>
          <w:numId w:val="8"/>
        </w:numPr>
      </w:pPr>
      <w:r>
        <w:t xml:space="preserve">The government should define more clearly what type of information can be classified and under what reasons. It should also declassify personal information in high public demand if the benefit received from disclosing such information is higher than that of keeping it secret. </w:t>
      </w:r>
    </w:p>
    <w:p w:rsidR="00617421" w:rsidRDefault="00617421">
      <w:pPr>
        <w:tabs>
          <w:tab w:val="clear" w:pos="2880"/>
        </w:tabs>
        <w:rPr>
          <w:rFonts w:eastAsiaTheme="majorEastAsia"/>
          <w:b/>
          <w:bCs/>
          <w:color w:val="1F497D" w:themeColor="text2"/>
          <w:sz w:val="26"/>
          <w:szCs w:val="26"/>
        </w:rPr>
      </w:pPr>
      <w:bookmarkStart w:id="34" w:name="_Toc502917027"/>
      <w:r>
        <w:br w:type="page"/>
      </w:r>
    </w:p>
    <w:p w:rsidR="00617421" w:rsidRDefault="00617421" w:rsidP="003B60EE">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Pr="00054BE0" w:rsidRDefault="00617421" w:rsidP="003B60EE">
      <w:pPr>
        <w:pStyle w:val="Heading2"/>
        <w:rPr>
          <w:rFonts w:ascii="Sylfaen" w:hAnsi="Sylfaen"/>
          <w:lang w:val="ka-GE"/>
        </w:rPr>
      </w:pPr>
      <w:bookmarkStart w:id="35" w:name="_Toc409220380"/>
      <w:r>
        <w:lastRenderedPageBreak/>
        <w:t>8. Development of a monitoring and assessment system of the Government policy and legislative acts</w:t>
      </w:r>
      <w:bookmarkEnd w:id="34"/>
      <w:bookmarkEnd w:id="35"/>
    </w:p>
    <w:p w:rsidR="00617421" w:rsidRDefault="00617421" w:rsidP="003B60EE">
      <w:pPr>
        <w:tabs>
          <w:tab w:val="left" w:pos="1840"/>
        </w:tabs>
      </w:pPr>
      <w:r>
        <w:tab/>
      </w:r>
    </w:p>
    <w:p w:rsidR="00617421" w:rsidRPr="00D167D9" w:rsidRDefault="00617421" w:rsidP="003B60EE">
      <w:pPr>
        <w:rPr>
          <w:b/>
          <w:szCs w:val="22"/>
        </w:rPr>
      </w:pPr>
      <w:r w:rsidRPr="00D167D9">
        <w:rPr>
          <w:b/>
          <w:szCs w:val="22"/>
        </w:rPr>
        <w:t xml:space="preserve">Commitment Text: </w:t>
      </w:r>
    </w:p>
    <w:p w:rsidR="00617421" w:rsidRDefault="00617421" w:rsidP="003B60EE">
      <w:pPr>
        <w:pStyle w:val="APQuotefeaturetol"/>
      </w:pPr>
      <w:r>
        <w:t>The Administration of the Government of Georgia in cooperation with the Ministry of Justice will develop a unified system for monitoring and assessment of the government policy planning documents and legislative acts. By means of the system, on the basis of ex-ante and ex-post assessment, it will be possible to identify challenges regarding the implementation of the commitments taken by the Government in a timely manner. This will make the policy management process more efficient. In addition to this, on the basis of ex-ante assessment it will be possible to identify particular problems that could be addressed by relevant legislative acts and/or policy planning. In order to engage society, the platform for dialogue will be enhanced. On the one hand, this will enable the government to provide citizens with information, while on the other hand, our society will also be able to use the space to offer the government its recommendations. In particular, citizens will have an access to the system and will be able to present their ideas in writing in an electronic form.</w:t>
      </w:r>
    </w:p>
    <w:p w:rsidR="00617421" w:rsidRDefault="00617421" w:rsidP="003B60EE">
      <w:pPr>
        <w:pStyle w:val="APQuotefeaturetol"/>
      </w:pPr>
      <w:r>
        <w:t>Following analysis of the information, obtained through the monitoring process, the monitoring report will be prepared, contributing to an even more transparent and accountable government. Monitoring on the changes implemented through a short-term and a long-term documents (for example, nation-wide documents or sectoral strategies) will be performed on an annual basis. Monitoring of short-term documents (annual working plan, Action Plan) shall be conducted quarterly or biannually. Monitoring and reporting of internal documents (Ministry plans, department plans and individual plans) shall be handled on a monthly basis. Monitoring and reporting mechanism for each planning document shall be defined during the strategy implementation process.</w:t>
      </w:r>
    </w:p>
    <w:p w:rsidR="00617421" w:rsidRDefault="00617421" w:rsidP="003B60EE">
      <w:pPr>
        <w:pStyle w:val="APQuotefeaturetol"/>
      </w:pPr>
      <w:r>
        <w:t>Furthermore, in 2017 a new electronic system will be introduced for the government to better carry out and monitor its activities. The system will ensure: (1) creating electronic reports about the activities planned by different public agencies in the framework of the government annual action plan; (2) monitoring and analysis of implementation process. Various sectorial and multi-sectorial action plans will also be integrated into the system. The platform will enable stakeholders to organize information by sector or direction.</w:t>
      </w:r>
    </w:p>
    <w:p w:rsidR="00617421" w:rsidRDefault="00617421" w:rsidP="003B60EE"/>
    <w:p w:rsidR="00617421" w:rsidRPr="00505C1E" w:rsidRDefault="00617421" w:rsidP="003B60EE">
      <w:pPr>
        <w:pStyle w:val="Normalrglronly"/>
      </w:pPr>
      <w:r w:rsidRPr="00505C1E">
        <w:t xml:space="preserve">Responsible institution: </w:t>
      </w:r>
      <w:r w:rsidRPr="00505C1E">
        <w:rPr>
          <w:noProof/>
        </w:rPr>
        <w:t>Administration of the Government of Georgia</w:t>
      </w:r>
    </w:p>
    <w:p w:rsidR="00617421" w:rsidRPr="00505C1E" w:rsidRDefault="00617421" w:rsidP="003B60EE">
      <w:pPr>
        <w:pStyle w:val="Normalrglronly"/>
      </w:pPr>
      <w:r w:rsidRPr="00505C1E">
        <w:t xml:space="preserve">Supporting institution(s): </w:t>
      </w:r>
      <w:r w:rsidRPr="00505C1E">
        <w:rPr>
          <w:noProof/>
        </w:rPr>
        <w:t>Ministry of Justice of Georgia</w:t>
      </w:r>
    </w:p>
    <w:p w:rsidR="00617421" w:rsidRPr="00505C1E" w:rsidRDefault="00617421" w:rsidP="00505C1E">
      <w:pPr>
        <w:spacing w:after="120"/>
        <w:rPr>
          <w:szCs w:val="22"/>
        </w:rPr>
      </w:pPr>
      <w:r w:rsidRPr="00505C1E">
        <w:rPr>
          <w:szCs w:val="22"/>
        </w:rPr>
        <w:t>Start date: March 2016                                                End date: December 2017</w:t>
      </w:r>
    </w:p>
    <w:p w:rsidR="00617421" w:rsidRDefault="00617421" w:rsidP="003B60EE">
      <w:pPr>
        <w:rPr>
          <w:lang w:val="en-GB"/>
        </w:rPr>
      </w:pPr>
    </w:p>
    <w:tbl>
      <w:tblPr>
        <w:tblW w:w="1097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rsidTr="00FB2825">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FB2825">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FB2825">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617421" w:rsidRPr="004B1C12" w:rsidTr="00FB2825">
        <w:trPr>
          <w:trHeight w:val="600"/>
        </w:trPr>
        <w:tc>
          <w:tcPr>
            <w:tcW w:w="1596" w:type="dxa"/>
            <w:vMerge w:val="restart"/>
            <w:tcBorders>
              <w:top w:val="single" w:sz="18" w:space="0" w:color="FFFFFF"/>
              <w:left w:val="single" w:sz="4" w:space="0" w:color="FFFFFF"/>
            </w:tcBorders>
            <w:shd w:val="clear" w:color="auto" w:fill="000000"/>
            <w:vAlign w:val="center"/>
          </w:tcPr>
          <w:p w:rsidR="00617421" w:rsidRPr="0010229D" w:rsidRDefault="00617421" w:rsidP="00C60967">
            <w:pPr>
              <w:rPr>
                <w:color w:val="FFFFFF" w:themeColor="background1"/>
              </w:rPr>
            </w:pPr>
            <w:r w:rsidRPr="003B60EE">
              <w:rPr>
                <w:color w:val="FFFFFF" w:themeColor="background1"/>
              </w:rPr>
              <w:t xml:space="preserve">8. </w:t>
            </w:r>
            <w:r w:rsidR="007D1ACB">
              <w:rPr>
                <w:color w:val="FFFFFF" w:themeColor="background1"/>
              </w:rPr>
              <w:t>M</w:t>
            </w:r>
            <w:r w:rsidRPr="003B60EE">
              <w:rPr>
                <w:color w:val="FFFFFF" w:themeColor="background1"/>
              </w:rPr>
              <w:t>onitoring and assessment system of the Government</w:t>
            </w:r>
          </w:p>
        </w:tc>
        <w:tc>
          <w:tcPr>
            <w:tcW w:w="445" w:type="dxa"/>
            <w:vMerge w:val="restart"/>
            <w:tcBorders>
              <w:top w:val="single" w:sz="18" w:space="0" w:color="FFFFFF"/>
              <w:right w:val="single" w:sz="2" w:space="0" w:color="FFFFFF"/>
            </w:tcBorders>
            <w:shd w:val="clear" w:color="auto" w:fill="D6E3BC"/>
            <w:vAlign w:val="center"/>
          </w:tcPr>
          <w:p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10229D" w:rsidRDefault="00617421" w:rsidP="00C60967"/>
        </w:tc>
      </w:tr>
      <w:tr w:rsidR="00617421" w:rsidRPr="004B1C12" w:rsidTr="00FB2825">
        <w:trPr>
          <w:trHeight w:val="636"/>
        </w:trPr>
        <w:tc>
          <w:tcPr>
            <w:tcW w:w="1596" w:type="dxa"/>
            <w:vMerge/>
            <w:tcBorders>
              <w:left w:val="nil"/>
              <w:bottom w:val="single" w:sz="18" w:space="0" w:color="FFFFFF"/>
            </w:tcBorders>
            <w:shd w:val="clear" w:color="auto" w:fill="000000"/>
            <w:vAlign w:val="center"/>
          </w:tcPr>
          <w:p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rsidR="00617421" w:rsidRPr="0010229D" w:rsidRDefault="00617421" w:rsidP="00C60967"/>
        </w:tc>
      </w:tr>
    </w:tbl>
    <w:p w:rsidR="00617421" w:rsidRDefault="00617421" w:rsidP="00FE5928">
      <w:pPr>
        <w:pStyle w:val="Heading3"/>
      </w:pPr>
      <w:r w:rsidRPr="0010229D">
        <w:t xml:space="preserve">Commitment </w:t>
      </w:r>
      <w:r w:rsidRPr="004B1C12">
        <w:t>A</w:t>
      </w:r>
      <w:r w:rsidRPr="0010229D">
        <w:t>im:</w:t>
      </w:r>
    </w:p>
    <w:p w:rsidR="00617421" w:rsidRDefault="00617421" w:rsidP="003B60EE">
      <w:r>
        <w:t>The A</w:t>
      </w:r>
      <w:r w:rsidRPr="003B60EE">
        <w:t xml:space="preserve">dministration of the Government of Georgia </w:t>
      </w:r>
      <w:r>
        <w:t xml:space="preserve">committed to </w:t>
      </w:r>
      <w:r w:rsidRPr="003B60EE">
        <w:t>develop</w:t>
      </w:r>
      <w:r>
        <w:t>ing</w:t>
      </w:r>
      <w:r w:rsidRPr="003B60EE">
        <w:t xml:space="preserve"> a unified system for ex-ante and ex-post assessment of the country’s policy planning documents and legislative acts. This also included creating a monitoring and reporting system with the participation of citizens who would be able to submit </w:t>
      </w:r>
      <w:r>
        <w:t>their ideas and recommendations. Specific aims of the commitment included:</w:t>
      </w:r>
    </w:p>
    <w:p w:rsidR="00617421" w:rsidRDefault="00617421" w:rsidP="0062096D">
      <w:pPr>
        <w:pStyle w:val="ListParagraph"/>
      </w:pPr>
      <w:r>
        <w:t>Launch a new electronic system containing reports about the activities planned by different public agencies as well as about the monitoring and analysis of the implementation process;</w:t>
      </w:r>
    </w:p>
    <w:p w:rsidR="00617421" w:rsidRDefault="00617421" w:rsidP="0062096D">
      <w:pPr>
        <w:pStyle w:val="ListParagraph"/>
      </w:pPr>
      <w:r>
        <w:t>Prepare quarterly or biannual monitoring reports of the implementation of the government’s nationwide strategy and policy documents;</w:t>
      </w:r>
    </w:p>
    <w:p w:rsidR="00617421" w:rsidRDefault="00617421" w:rsidP="0062096D">
      <w:pPr>
        <w:pStyle w:val="ListParagraph"/>
      </w:pPr>
      <w:r>
        <w:t>Prepare monthly monitoring reports of the implementation of internal planning documents;</w:t>
      </w:r>
    </w:p>
    <w:p w:rsidR="00617421" w:rsidRDefault="00617421" w:rsidP="0062096D">
      <w:pPr>
        <w:pStyle w:val="ListParagraph"/>
      </w:pPr>
      <w:r>
        <w:t>Give citizens access to the new system for them to present ideas electronically and to organize the available information by sector or direction.</w:t>
      </w:r>
    </w:p>
    <w:p w:rsidR="00617421" w:rsidRPr="0010229D" w:rsidRDefault="00617421" w:rsidP="00FE5928">
      <w:pPr>
        <w:pStyle w:val="Heading3"/>
      </w:pPr>
      <w:r w:rsidRPr="0010229D">
        <w:t>Status</w:t>
      </w:r>
    </w:p>
    <w:p w:rsidR="00617421" w:rsidRDefault="00617421" w:rsidP="003B60EE">
      <w:pPr>
        <w:pStyle w:val="Normalrglronly"/>
        <w:rPr>
          <w:b/>
          <w:color w:val="000000" w:themeColor="text1"/>
        </w:rPr>
      </w:pPr>
      <w:r w:rsidRPr="004B1C12">
        <w:rPr>
          <w:b/>
        </w:rPr>
        <w:t xml:space="preserve">Midterm: </w:t>
      </w:r>
      <w:r w:rsidRPr="004B1C12">
        <w:rPr>
          <w:b/>
          <w:color w:val="000000" w:themeColor="text1"/>
        </w:rPr>
        <w:t>Limited</w:t>
      </w:r>
    </w:p>
    <w:p w:rsidR="00617421" w:rsidRPr="00673E1A" w:rsidRDefault="00617421" w:rsidP="003B60EE">
      <w:pPr>
        <w:pStyle w:val="Normalrglronly"/>
        <w:rPr>
          <w:rFonts w:ascii="Sylfaen" w:hAnsi="Sylfaen"/>
          <w:b/>
        </w:rPr>
      </w:pPr>
      <w:r w:rsidRPr="003B60EE">
        <w:t xml:space="preserve">At the mid-term, the commitment </w:t>
      </w:r>
      <w:r w:rsidR="00FD5BEB">
        <w:t>had seen</w:t>
      </w:r>
      <w:r w:rsidR="00FD5BEB" w:rsidRPr="003B60EE">
        <w:t xml:space="preserve"> </w:t>
      </w:r>
      <w:r w:rsidRPr="003B60EE">
        <w:t xml:space="preserve">limited implementation. </w:t>
      </w:r>
      <w:r>
        <w:t xml:space="preserve">In 2016, the Government adopted a Decree that obliged all public agencies to conduct monitoring and assessment of the implementation of their policy strategies and action plans. Based on this Decree, </w:t>
      </w:r>
      <w:r w:rsidRPr="003B60EE">
        <w:t xml:space="preserve">the Government Administration selected five pilot Ministries (Ministry of Labor, Health, and Social Affairs; Ministry of Justice; Ministry of Education and Science; Ministry of Agriculture; and Ministry of Economy and Sustainable Development), who </w:t>
      </w:r>
      <w:r>
        <w:t xml:space="preserve">had </w:t>
      </w:r>
      <w:r w:rsidRPr="003B60EE">
        <w:t xml:space="preserve">to draft their specific strategies and undertake the monitoring. </w:t>
      </w:r>
      <w:r>
        <w:t xml:space="preserve">The Administration also planned to </w:t>
      </w:r>
      <w:r w:rsidRPr="003B60EE">
        <w:t xml:space="preserve">add seven more pilot Ministries to the system and, later, all other Ministries. </w:t>
      </w:r>
      <w:r>
        <w:t>The lack of capacities in some Ministries created</w:t>
      </w:r>
      <w:r w:rsidRPr="003B60EE">
        <w:t xml:space="preserve"> a challenge for operating the syste</w:t>
      </w:r>
      <w:r>
        <w:t xml:space="preserve">m within all government agencies. </w:t>
      </w:r>
    </w:p>
    <w:p w:rsidR="00617421" w:rsidRPr="004B1C12" w:rsidRDefault="00617421" w:rsidP="003B60EE">
      <w:pPr>
        <w:pStyle w:val="Normalrglronly"/>
        <w:rPr>
          <w:b/>
          <w:color w:val="000000" w:themeColor="text1"/>
        </w:rPr>
      </w:pPr>
      <w:r w:rsidRPr="004B1C12">
        <w:rPr>
          <w:b/>
        </w:rPr>
        <w:t xml:space="preserve">End of term: </w:t>
      </w:r>
      <w:r>
        <w:rPr>
          <w:b/>
          <w:color w:val="000000" w:themeColor="text1"/>
        </w:rPr>
        <w:t>Limited</w:t>
      </w:r>
    </w:p>
    <w:p w:rsidR="00617421" w:rsidRPr="006E1124" w:rsidRDefault="00617421" w:rsidP="003B60EE">
      <w:pPr>
        <w:pStyle w:val="Normalrglronly"/>
        <w:rPr>
          <w:color w:val="auto"/>
          <w:shd w:val="clear" w:color="auto" w:fill="FFFFFF"/>
        </w:rPr>
      </w:pPr>
      <w:r>
        <w:rPr>
          <w:color w:val="auto"/>
          <w:shd w:val="clear" w:color="auto" w:fill="FFFFFF"/>
        </w:rPr>
        <w:t xml:space="preserve">The status of the commitment’s implementation has remained limited at the end of term. While the five pilot Ministries developed the monitoring and assessment reports of their policy strategies and action plans, the new and unified electronic system as envisaged by the commitment text has not </w:t>
      </w:r>
      <w:r w:rsidR="00FD5BEB">
        <w:rPr>
          <w:color w:val="auto"/>
          <w:shd w:val="clear" w:color="auto" w:fill="FFFFFF"/>
        </w:rPr>
        <w:t xml:space="preserve">yet </w:t>
      </w:r>
      <w:r>
        <w:rPr>
          <w:color w:val="auto"/>
          <w:shd w:val="clear" w:color="auto" w:fill="FFFFFF"/>
        </w:rPr>
        <w:t xml:space="preserve">been launched. During the reporting period, the Administration </w:t>
      </w:r>
      <w:r>
        <w:rPr>
          <w:color w:val="auto"/>
          <w:shd w:val="clear" w:color="auto" w:fill="FFFFFF"/>
        </w:rPr>
        <w:lastRenderedPageBreak/>
        <w:t xml:space="preserve">was in the process of consulting the concept of the new system with relevant Ministries and donors. An important topic under discussion concerned which part of this system would be made public, </w:t>
      </w:r>
      <w:r>
        <w:t>electronic reports about the activities planned by different public agencies or the monitoring and analysis of the implementation process.</w:t>
      </w:r>
      <w:r>
        <w:rPr>
          <w:rStyle w:val="EndnoteReference"/>
        </w:rPr>
        <w:endnoteReference w:id="31"/>
      </w:r>
      <w:r>
        <w:t xml:space="preserve"> </w:t>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rsidR="00617421" w:rsidRDefault="00617421" w:rsidP="003B60EE">
      <w:pPr>
        <w:rPr>
          <w:b/>
          <w:color w:val="000000" w:themeColor="text1"/>
        </w:rPr>
      </w:pPr>
      <w:r w:rsidRPr="004B1C12">
        <w:rPr>
          <w:b/>
          <w:color w:val="000000" w:themeColor="text1"/>
        </w:rPr>
        <w:t>Access to I</w:t>
      </w:r>
      <w:r>
        <w:rPr>
          <w:b/>
          <w:color w:val="000000" w:themeColor="text1"/>
        </w:rPr>
        <w:t xml:space="preserve">nformation: </w:t>
      </w:r>
      <w:r w:rsidRPr="00184E05">
        <w:rPr>
          <w:b/>
          <w:color w:val="000000" w:themeColor="text1"/>
        </w:rPr>
        <w:t>Did Not Change</w:t>
      </w:r>
    </w:p>
    <w:p w:rsidR="00617421" w:rsidRPr="004B1C12" w:rsidRDefault="00617421" w:rsidP="003B60EE">
      <w:pPr>
        <w:rPr>
          <w:b/>
          <w:color w:val="000000" w:themeColor="text1"/>
        </w:rPr>
      </w:pPr>
      <w:r>
        <w:t xml:space="preserve">The new monitoring and assessment system of the government’s policy and legislative acts was not launched in the period covered by the action plan and this report. Therefore, there has not been any change in government practice in terms of improving public access to information. </w:t>
      </w:r>
    </w:p>
    <w:p w:rsidR="00617421" w:rsidRDefault="00617421" w:rsidP="00FE5928">
      <w:pPr>
        <w:pStyle w:val="Heading3"/>
      </w:pPr>
      <w:r w:rsidRPr="0010229D">
        <w:t xml:space="preserve">Carried </w:t>
      </w:r>
      <w:r w:rsidRPr="004B1C12">
        <w:t>F</w:t>
      </w:r>
      <w:r w:rsidRPr="0010229D">
        <w:t>orward?</w:t>
      </w:r>
    </w:p>
    <w:p w:rsidR="00617421" w:rsidRPr="00187553" w:rsidRDefault="00D04B04" w:rsidP="003B60EE">
      <w:r w:rsidRPr="00407534">
        <w:rPr>
          <w:color w:val="000000" w:themeColor="text1"/>
        </w:rPr>
        <w:t>The commitment was not carried into the new Action Plan 2018-20</w:t>
      </w:r>
      <w:r w:rsidR="009346FC">
        <w:rPr>
          <w:color w:val="000000" w:themeColor="text1"/>
        </w:rPr>
        <w:t>19</w:t>
      </w:r>
      <w:r w:rsidR="00E47CFD">
        <w:rPr>
          <w:lang w:val="en-GB"/>
        </w:rPr>
        <w:t xml:space="preserve">, but the government intends to continue this project outside the OGP process. Civil society </w:t>
      </w:r>
      <w:r w:rsidR="00617421">
        <w:rPr>
          <w:lang w:val="en-GB"/>
        </w:rPr>
        <w:t>think</w:t>
      </w:r>
      <w:r w:rsidR="00057D49">
        <w:rPr>
          <w:lang w:val="en-GB"/>
        </w:rPr>
        <w:t>s</w:t>
      </w:r>
      <w:r w:rsidR="00617421">
        <w:rPr>
          <w:lang w:val="en-GB"/>
        </w:rPr>
        <w:t xml:space="preserve"> that the new system can </w:t>
      </w:r>
      <w:r w:rsidR="00617421" w:rsidRPr="00187553">
        <w:rPr>
          <w:lang w:val="en-GB"/>
        </w:rPr>
        <w:t xml:space="preserve">improve the quality of government decision-making </w:t>
      </w:r>
      <w:r w:rsidR="00093DA7">
        <w:rPr>
          <w:lang w:val="en-GB"/>
        </w:rPr>
        <w:t xml:space="preserve">only </w:t>
      </w:r>
      <w:r w:rsidR="00617421">
        <w:rPr>
          <w:lang w:val="en-GB"/>
        </w:rPr>
        <w:t xml:space="preserve">if it includes elements of </w:t>
      </w:r>
      <w:r w:rsidR="00617421" w:rsidRPr="00187553">
        <w:rPr>
          <w:lang w:val="en-GB"/>
        </w:rPr>
        <w:t xml:space="preserve">openness, public participation, and accountability. </w:t>
      </w:r>
      <w:r w:rsidR="007D1ACB">
        <w:rPr>
          <w:lang w:val="en-GB"/>
        </w:rPr>
        <w:t>E</w:t>
      </w:r>
      <w:r w:rsidR="00617421" w:rsidRPr="00187553">
        <w:rPr>
          <w:lang w:val="en-GB"/>
        </w:rPr>
        <w:t>xplanatory note</w:t>
      </w:r>
      <w:r w:rsidR="00617421">
        <w:rPr>
          <w:lang w:val="en-GB"/>
        </w:rPr>
        <w:t xml:space="preserve">s and budget impact of </w:t>
      </w:r>
      <w:r w:rsidR="00617421" w:rsidRPr="00187553">
        <w:rPr>
          <w:lang w:val="en-GB"/>
        </w:rPr>
        <w:t>each draft of policy and legal act</w:t>
      </w:r>
      <w:r w:rsidR="007D1ACB">
        <w:rPr>
          <w:lang w:val="en-GB"/>
        </w:rPr>
        <w:t xml:space="preserve"> need to be published together with</w:t>
      </w:r>
      <w:r w:rsidR="00617421" w:rsidRPr="00187553">
        <w:rPr>
          <w:lang w:val="en-GB"/>
        </w:rPr>
        <w:t xml:space="preserve"> simplified analysis of pros and cons about the proposed change; number and name of stakeholders consulted, including the summary consultation report and government responses. </w:t>
      </w:r>
      <w:r w:rsidR="00617421">
        <w:rPr>
          <w:lang w:val="en-GB"/>
        </w:rPr>
        <w:t xml:space="preserve">The </w:t>
      </w:r>
      <w:r w:rsidR="00617421" w:rsidRPr="00187553">
        <w:rPr>
          <w:lang w:val="en-GB"/>
        </w:rPr>
        <w:t xml:space="preserve">government </w:t>
      </w:r>
      <w:r w:rsidR="007D1ACB">
        <w:rPr>
          <w:lang w:val="en-GB"/>
        </w:rPr>
        <w:t>c</w:t>
      </w:r>
      <w:r w:rsidR="00617421" w:rsidRPr="00187553">
        <w:rPr>
          <w:lang w:val="en-GB"/>
        </w:rPr>
        <w:t xml:space="preserve">ould </w:t>
      </w:r>
      <w:r w:rsidR="00617421">
        <w:rPr>
          <w:lang w:val="en-GB"/>
        </w:rPr>
        <w:t xml:space="preserve">also </w:t>
      </w:r>
      <w:r w:rsidR="00617421" w:rsidRPr="00187553">
        <w:rPr>
          <w:lang w:val="en-GB"/>
        </w:rPr>
        <w:t>create an online mechanism for consultations with stakeholders so every interested party has an opportunity t</w:t>
      </w:r>
      <w:r w:rsidR="00617421">
        <w:rPr>
          <w:lang w:val="en-GB"/>
        </w:rPr>
        <w:t xml:space="preserve">o provide individual feedback. </w:t>
      </w:r>
    </w:p>
    <w:p w:rsidR="00617421" w:rsidRDefault="00617421">
      <w:pPr>
        <w:tabs>
          <w:tab w:val="clear" w:pos="2880"/>
        </w:tabs>
        <w:rPr>
          <w:rFonts w:ascii="MS Mincho" w:eastAsia="MS Mincho" w:hAnsi="MS Mincho" w:cs="MS Mincho"/>
          <w:bCs/>
          <w:color w:val="1F497D" w:themeColor="text2"/>
          <w:sz w:val="26"/>
          <w:szCs w:val="26"/>
        </w:rPr>
      </w:pPr>
      <w:bookmarkStart w:id="36" w:name="_Toc502917028"/>
      <w:r>
        <w:rPr>
          <w:rFonts w:ascii="MS Mincho" w:eastAsia="MS Mincho" w:hAnsi="MS Mincho" w:cs="MS Mincho"/>
          <w:b/>
        </w:rPr>
        <w:br w:type="page"/>
      </w:r>
    </w:p>
    <w:p w:rsidR="00617421" w:rsidRDefault="00617421" w:rsidP="00583E83">
      <w:pPr>
        <w:pStyle w:val="Heading2"/>
        <w:rPr>
          <w:rFonts w:ascii="MS Mincho" w:eastAsia="MS Mincho" w:hAnsi="MS Mincho" w:cs="MS Mincho"/>
          <w:b w:val="0"/>
        </w:rPr>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Default="00617421" w:rsidP="00583E83">
      <w:pPr>
        <w:pStyle w:val="Heading2"/>
      </w:pPr>
      <w:bookmarkStart w:id="37" w:name="_Toc409220381"/>
      <w:r w:rsidRPr="00122D60">
        <w:rPr>
          <w:rFonts w:ascii="MS Mincho" w:eastAsia="MS Mincho" w:hAnsi="MS Mincho" w:cs="MS Mincho"/>
          <w:b w:val="0"/>
        </w:rPr>
        <w:lastRenderedPageBreak/>
        <w:t>✪</w:t>
      </w:r>
      <w:r w:rsidRPr="00B67726">
        <w:rPr>
          <w:b w:val="0"/>
        </w:rPr>
        <w:t xml:space="preserve"> </w:t>
      </w:r>
      <w:r>
        <w:t>9. Introduction of the public officials’ asset declarations monitoring system</w:t>
      </w:r>
      <w:bookmarkEnd w:id="36"/>
      <w:bookmarkEnd w:id="37"/>
      <w:r>
        <w:t xml:space="preserve"> </w:t>
      </w:r>
    </w:p>
    <w:p w:rsidR="00617421" w:rsidRDefault="00617421" w:rsidP="00583E83">
      <w:pPr>
        <w:tabs>
          <w:tab w:val="left" w:pos="1840"/>
        </w:tabs>
      </w:pPr>
      <w:r>
        <w:tab/>
      </w:r>
    </w:p>
    <w:p w:rsidR="00617421" w:rsidRPr="00D167D9" w:rsidRDefault="00617421" w:rsidP="00583E83">
      <w:pPr>
        <w:rPr>
          <w:b/>
          <w:szCs w:val="22"/>
        </w:rPr>
      </w:pPr>
      <w:r w:rsidRPr="00D167D9">
        <w:rPr>
          <w:b/>
          <w:szCs w:val="22"/>
        </w:rPr>
        <w:t xml:space="preserve">Commitment Text: </w:t>
      </w:r>
    </w:p>
    <w:p w:rsidR="00617421" w:rsidRDefault="00617421" w:rsidP="00583E83">
      <w:pPr>
        <w:pStyle w:val="APQuotefeaturetol"/>
      </w:pPr>
      <w:r>
        <w:t>In compliance with the Law of Georgia on Conflict of Interest and Corruption in Public Service, starting from 2017, the Civil Service Bureau will conduct monitoring of the asset declarations of public officials. Monitoring shall be conducted annually by an independent committee based on obvious and objective criteria, also for the declarations randomly selected by the electronic system. Prior to the civil service reform, this issue was not regulated by the law. There was no tool to audit the economic interest and property data disclosed by public officials. Monitoring of the public officials’ asset declarations aims to improve accountability of public officials and prevent corruptive offences.</w:t>
      </w:r>
    </w:p>
    <w:p w:rsidR="00617421" w:rsidRPr="00505C1E" w:rsidRDefault="00617421" w:rsidP="00583E83">
      <w:pPr>
        <w:pStyle w:val="Normalrglronly"/>
      </w:pPr>
      <w:r w:rsidRPr="00505C1E">
        <w:t xml:space="preserve">Responsible institution: </w:t>
      </w:r>
      <w:r w:rsidRPr="00505C1E">
        <w:rPr>
          <w:noProof/>
        </w:rPr>
        <w:t>LEPL – Civil Service Bureau</w:t>
      </w:r>
    </w:p>
    <w:p w:rsidR="00617421" w:rsidRPr="00505C1E" w:rsidRDefault="00617421" w:rsidP="00583E83">
      <w:pPr>
        <w:pStyle w:val="Normalrglronly"/>
      </w:pPr>
      <w:r w:rsidRPr="00505C1E">
        <w:t xml:space="preserve">Supporting institution(s): </w:t>
      </w:r>
      <w:r w:rsidRPr="00505C1E">
        <w:rPr>
          <w:noProof/>
        </w:rPr>
        <w:t>Government of Georgia, Anti-Corruption Council, LEPL – Data Exchange Agency</w:t>
      </w:r>
    </w:p>
    <w:p w:rsidR="00617421" w:rsidRPr="00505C1E" w:rsidRDefault="00617421" w:rsidP="00505C1E">
      <w:pPr>
        <w:spacing w:after="120"/>
        <w:rPr>
          <w:szCs w:val="22"/>
        </w:rPr>
      </w:pPr>
      <w:r w:rsidRPr="00505C1E">
        <w:rPr>
          <w:szCs w:val="22"/>
        </w:rPr>
        <w:t>Start date: March 2016                         End date: December 2017</w:t>
      </w:r>
    </w:p>
    <w:p w:rsidR="00617421" w:rsidRDefault="00617421" w:rsidP="00583E83">
      <w:pPr>
        <w:rPr>
          <w:szCs w:val="22"/>
        </w:rPr>
      </w:pPr>
    </w:p>
    <w:tbl>
      <w:tblPr>
        <w:tblW w:w="10971"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rsidTr="00FB2825">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FB2825">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FB2825">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617421" w:rsidRPr="004B1C12" w:rsidTr="00FB2825">
        <w:trPr>
          <w:trHeight w:val="600"/>
        </w:trPr>
        <w:tc>
          <w:tcPr>
            <w:tcW w:w="1596" w:type="dxa"/>
            <w:vMerge w:val="restart"/>
            <w:tcBorders>
              <w:top w:val="single" w:sz="18" w:space="0" w:color="FFFFFF"/>
              <w:left w:val="single" w:sz="4" w:space="0" w:color="FFFFFF"/>
            </w:tcBorders>
            <w:shd w:val="clear" w:color="auto" w:fill="000000"/>
            <w:vAlign w:val="center"/>
          </w:tcPr>
          <w:p w:rsidR="00617421" w:rsidRPr="0010229D" w:rsidRDefault="00617421" w:rsidP="00C60967">
            <w:pPr>
              <w:rPr>
                <w:color w:val="FFFFFF" w:themeColor="background1"/>
              </w:rPr>
            </w:pPr>
            <w:r w:rsidRPr="00583E83">
              <w:rPr>
                <w:rFonts w:ascii="Segoe UI Symbol" w:hAnsi="Segoe UI Symbol" w:cs="Segoe UI Symbol"/>
                <w:color w:val="FFFFFF" w:themeColor="background1"/>
              </w:rPr>
              <w:t>✪</w:t>
            </w:r>
            <w:r w:rsidRPr="00583E83">
              <w:rPr>
                <w:color w:val="FFFFFF" w:themeColor="background1"/>
              </w:rPr>
              <w:t xml:space="preserve"> 9. </w:t>
            </w:r>
            <w:r w:rsidR="007D1ACB">
              <w:rPr>
                <w:color w:val="FFFFFF" w:themeColor="background1"/>
              </w:rPr>
              <w:t>P</w:t>
            </w:r>
            <w:r w:rsidRPr="00583E83">
              <w:rPr>
                <w:color w:val="FFFFFF" w:themeColor="background1"/>
              </w:rPr>
              <w:t>ublic officials’ asset declarations monitoring system</w:t>
            </w:r>
          </w:p>
        </w:tc>
        <w:tc>
          <w:tcPr>
            <w:tcW w:w="445" w:type="dxa"/>
            <w:vMerge w:val="restart"/>
            <w:tcBorders>
              <w:top w:val="single" w:sz="18" w:space="0" w:color="FFFFFF"/>
              <w:right w:val="single" w:sz="2" w:space="0" w:color="FFFFFF"/>
            </w:tcBorders>
            <w:shd w:val="clear" w:color="auto" w:fill="D6E3BC"/>
            <w:vAlign w:val="center"/>
          </w:tcPr>
          <w:p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388"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r w:rsidRPr="0010229D">
              <w:rPr>
                <w:rFonts w:ascii="MS Mincho" w:eastAsia="MS Mincho" w:hAnsi="MS Mincho" w:cs="MS Mincho"/>
                <w:sz w:val="20"/>
              </w:rPr>
              <w:t>✔</w:t>
            </w:r>
          </w:p>
        </w:tc>
        <w:tc>
          <w:tcPr>
            <w:tcW w:w="826" w:type="dxa"/>
            <w:vMerge w:val="restart"/>
            <w:tcBorders>
              <w:top w:val="single" w:sz="18" w:space="0" w:color="FFFFFF"/>
              <w:left w:val="single" w:sz="2" w:space="0" w:color="FFFFFF"/>
              <w:right w:val="single" w:sz="18" w:space="0" w:color="FFFFFF"/>
            </w:tcBorders>
            <w:shd w:val="clear" w:color="auto" w:fill="FBD4B4"/>
            <w:vAlign w:val="center"/>
          </w:tcPr>
          <w:p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10229D" w:rsidRDefault="00617421" w:rsidP="00C60967">
            <w:r w:rsidRPr="0010229D">
              <w:rPr>
                <w:rFonts w:ascii="MS Mincho" w:eastAsia="MS Mincho" w:hAnsi="MS Mincho" w:cs="MS Mincho"/>
                <w:sz w:val="20"/>
              </w:rPr>
              <w:t>✔</w:t>
            </w:r>
          </w:p>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r w:rsidRPr="0010229D">
              <w:rPr>
                <w:rFonts w:ascii="MS Mincho" w:eastAsia="MS Mincho" w:hAnsi="MS Mincho" w:cs="MS Mincho"/>
                <w:sz w:val="20"/>
              </w:rPr>
              <w:t>✔</w:t>
            </w:r>
          </w:p>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10229D" w:rsidRDefault="00617421" w:rsidP="00C60967"/>
        </w:tc>
      </w:tr>
      <w:tr w:rsidR="00617421" w:rsidRPr="004B1C12" w:rsidTr="00FB2825">
        <w:trPr>
          <w:trHeight w:val="636"/>
        </w:trPr>
        <w:tc>
          <w:tcPr>
            <w:tcW w:w="1596" w:type="dxa"/>
            <w:vMerge/>
            <w:tcBorders>
              <w:left w:val="nil"/>
              <w:bottom w:val="single" w:sz="18" w:space="0" w:color="FFFFFF"/>
            </w:tcBorders>
            <w:shd w:val="clear" w:color="auto" w:fill="000000"/>
            <w:vAlign w:val="center"/>
          </w:tcPr>
          <w:p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617421" w:rsidRPr="0010229D" w:rsidRDefault="00617421"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461" w:type="dxa"/>
            <w:tcBorders>
              <w:top w:val="nil"/>
              <w:left w:val="single" w:sz="2" w:space="0" w:color="FFFFFF"/>
              <w:bottom w:val="single" w:sz="18" w:space="0" w:color="FFFFFF"/>
              <w:right w:val="single" w:sz="18" w:space="0" w:color="FFFFFF"/>
            </w:tcBorders>
            <w:shd w:val="clear" w:color="auto" w:fill="B8CCE4"/>
            <w:vAlign w:val="center"/>
          </w:tcPr>
          <w:p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rsidR="00617421" w:rsidRPr="0010229D" w:rsidRDefault="00617421" w:rsidP="00C60967"/>
        </w:tc>
      </w:tr>
    </w:tbl>
    <w:p w:rsidR="00617421" w:rsidRDefault="00617421" w:rsidP="00583E83">
      <w:pPr>
        <w:rPr>
          <w:lang w:val="en-GB"/>
        </w:rPr>
      </w:pPr>
    </w:p>
    <w:p w:rsidR="00617421" w:rsidRDefault="00617421" w:rsidP="00FE5928">
      <w:pPr>
        <w:pStyle w:val="Heading3"/>
      </w:pPr>
      <w:r w:rsidRPr="0010229D">
        <w:t xml:space="preserve">Commitment </w:t>
      </w:r>
      <w:r w:rsidRPr="004B1C12">
        <w:t>A</w:t>
      </w:r>
      <w:r w:rsidRPr="0010229D">
        <w:t>im:</w:t>
      </w:r>
    </w:p>
    <w:p w:rsidR="00617421" w:rsidRPr="00E40AAA" w:rsidRDefault="00617421" w:rsidP="00583E83">
      <w:pPr>
        <w:rPr>
          <w:rFonts w:ascii="Sylfaen" w:hAnsi="Sylfaen"/>
        </w:rPr>
      </w:pPr>
      <w:r w:rsidRPr="003C13EE">
        <w:t xml:space="preserve">This pre-existing commitment </w:t>
      </w:r>
      <w:r w:rsidR="00E40AAA">
        <w:t xml:space="preserve">(since the second action plan in 2014) </w:t>
      </w:r>
      <w:r>
        <w:t xml:space="preserve">aimed to create </w:t>
      </w:r>
      <w:r w:rsidRPr="003C13EE">
        <w:t xml:space="preserve">a formal verification mechanism for public officials’ asset declarations. </w:t>
      </w:r>
      <w:r>
        <w:t xml:space="preserve">Before </w:t>
      </w:r>
      <w:r w:rsidRPr="003C13EE">
        <w:t xml:space="preserve">public officials </w:t>
      </w:r>
      <w:r>
        <w:t xml:space="preserve">were prone to </w:t>
      </w:r>
      <w:r w:rsidRPr="003C13EE">
        <w:t xml:space="preserve">hiding important information </w:t>
      </w:r>
      <w:r w:rsidR="006D64F2">
        <w:t>regarding</w:t>
      </w:r>
      <w:r w:rsidR="006D64F2" w:rsidRPr="003C13EE">
        <w:t xml:space="preserve"> </w:t>
      </w:r>
      <w:r w:rsidRPr="003C13EE">
        <w:t>their assets or providing wrong data in their decl</w:t>
      </w:r>
      <w:r>
        <w:t xml:space="preserve">arations while </w:t>
      </w:r>
      <w:r w:rsidRPr="003C13EE">
        <w:t>there was no official mechanism to verify the accuracy of the content provided.</w:t>
      </w:r>
      <w:r>
        <w:t xml:space="preserve">  </w:t>
      </w:r>
      <w:r w:rsidRPr="001A0062">
        <w:rPr>
          <w:i/>
          <w:color w:val="4F81BD" w:themeColor="accent1"/>
        </w:rPr>
        <w:t xml:space="preserve"> </w:t>
      </w:r>
    </w:p>
    <w:p w:rsidR="00617421" w:rsidRPr="0010229D" w:rsidRDefault="00617421" w:rsidP="00FE5928">
      <w:pPr>
        <w:pStyle w:val="Heading3"/>
      </w:pPr>
      <w:r w:rsidRPr="0010229D">
        <w:t>Status</w:t>
      </w:r>
    </w:p>
    <w:p w:rsidR="00617421" w:rsidRDefault="00617421" w:rsidP="00583E83">
      <w:pPr>
        <w:pStyle w:val="Normalrglronly"/>
        <w:rPr>
          <w:b/>
          <w:color w:val="000000" w:themeColor="text1"/>
        </w:rPr>
      </w:pPr>
      <w:r w:rsidRPr="004B1C12">
        <w:rPr>
          <w:b/>
        </w:rPr>
        <w:t xml:space="preserve">Midterm: </w:t>
      </w:r>
      <w:r>
        <w:rPr>
          <w:b/>
          <w:color w:val="000000" w:themeColor="text1"/>
        </w:rPr>
        <w:t>Substantial</w:t>
      </w:r>
    </w:p>
    <w:p w:rsidR="00617421" w:rsidRPr="00A728F1" w:rsidRDefault="00617421" w:rsidP="00583E83">
      <w:pPr>
        <w:pStyle w:val="Normalrglronly"/>
        <w:rPr>
          <w:rFonts w:ascii="Sylfaen" w:hAnsi="Sylfaen"/>
          <w:b/>
          <w:lang w:val="ka-GE"/>
        </w:rPr>
      </w:pPr>
      <w:r w:rsidRPr="003C13EE">
        <w:lastRenderedPageBreak/>
        <w:t xml:space="preserve">At the mid-term, the commitment </w:t>
      </w:r>
      <w:r w:rsidR="00781B94">
        <w:t>had been</w:t>
      </w:r>
      <w:r w:rsidR="00781B94" w:rsidRPr="003C13EE">
        <w:t xml:space="preserve"> </w:t>
      </w:r>
      <w:r w:rsidRPr="003C13EE">
        <w:t xml:space="preserve">substantially implemented. The legal amendments necessary for the operation of the new verification mechanism were approved by Parliament in December 2016 and entered into force on 1 January 2017. </w:t>
      </w:r>
      <w:r>
        <w:t>According to these amendments, the Civil Service Bureau (CSB) started monitoring public officials’ asset declarations</w:t>
      </w:r>
      <w:r w:rsidR="00781B94">
        <w:t>, which were either</w:t>
      </w:r>
      <w:r>
        <w:t xml:space="preserve"> </w:t>
      </w:r>
      <w:r w:rsidRPr="003C13EE">
        <w:t xml:space="preserve">selected </w:t>
      </w:r>
      <w:r>
        <w:t xml:space="preserve">randomly </w:t>
      </w:r>
      <w:r w:rsidRPr="003C13EE">
        <w:t xml:space="preserve">through the unified electronic system or </w:t>
      </w:r>
      <w:r>
        <w:t>reported as suspicious by external stakeholders.</w:t>
      </w:r>
      <w:r w:rsidRPr="003C13EE">
        <w:t xml:space="preserve"> </w:t>
      </w:r>
      <w:r>
        <w:t>However, the CSB</w:t>
      </w:r>
      <w:r w:rsidRPr="003C13EE">
        <w:t xml:space="preserve"> </w:t>
      </w:r>
      <w:r>
        <w:t>was not able to</w:t>
      </w:r>
      <w:r w:rsidRPr="003C13EE">
        <w:t xml:space="preserve"> create an ind</w:t>
      </w:r>
      <w:r>
        <w:t xml:space="preserve">ependent commission in charge of using </w:t>
      </w:r>
      <w:r w:rsidRPr="003C13EE">
        <w:t xml:space="preserve">special methodology </w:t>
      </w:r>
      <w:r>
        <w:t xml:space="preserve">for selecting </w:t>
      </w:r>
      <w:r w:rsidRPr="003C13EE">
        <w:t>asset declarations for monitor</w:t>
      </w:r>
      <w:r>
        <w:t xml:space="preserve">ing due to insufficient number of applications submitted for commission membership. </w:t>
      </w:r>
      <w:r w:rsidRPr="00673E1A">
        <w:t>For more information, please see the 2016–2017 IRM midterm report.</w:t>
      </w:r>
      <w:r>
        <w:t xml:space="preserve"> </w:t>
      </w:r>
    </w:p>
    <w:p w:rsidR="00617421" w:rsidRPr="004B1C12" w:rsidRDefault="00617421" w:rsidP="00583E83">
      <w:pPr>
        <w:pStyle w:val="Normalrglronly"/>
        <w:rPr>
          <w:b/>
          <w:color w:val="000000" w:themeColor="text1"/>
        </w:rPr>
      </w:pPr>
      <w:r w:rsidRPr="004B1C12">
        <w:rPr>
          <w:b/>
        </w:rPr>
        <w:t xml:space="preserve">End of term: </w:t>
      </w:r>
      <w:r>
        <w:rPr>
          <w:b/>
          <w:color w:val="000000" w:themeColor="text1"/>
        </w:rPr>
        <w:t>Substantial</w:t>
      </w:r>
    </w:p>
    <w:p w:rsidR="00617421" w:rsidRPr="00E45E27" w:rsidRDefault="00617421" w:rsidP="00583E83">
      <w:pPr>
        <w:pStyle w:val="Normalrglronly"/>
        <w:rPr>
          <w:rFonts w:ascii="Sylfaen" w:hAnsi="Sylfaen"/>
          <w:color w:val="auto"/>
          <w:shd w:val="clear" w:color="auto" w:fill="FFFFFF"/>
        </w:rPr>
      </w:pPr>
      <w:r>
        <w:rPr>
          <w:color w:val="auto"/>
          <w:shd w:val="clear" w:color="auto" w:fill="FFFFFF"/>
        </w:rPr>
        <w:t xml:space="preserve">As mentioned above, the CSB was not able to create an independent commission to be composed of CSO and academia representatives. </w:t>
      </w:r>
      <w:r w:rsidR="00812CBF">
        <w:rPr>
          <w:color w:val="auto"/>
          <w:shd w:val="clear" w:color="auto" w:fill="FFFFFF"/>
        </w:rPr>
        <w:t xml:space="preserve">This was due to the insufficient number of applications </w:t>
      </w:r>
      <w:r w:rsidR="00C028CE">
        <w:rPr>
          <w:color w:val="auto"/>
          <w:shd w:val="clear" w:color="auto" w:fill="FFFFFF"/>
        </w:rPr>
        <w:t xml:space="preserve">from academia representatives </w:t>
      </w:r>
      <w:r w:rsidR="00812CBF">
        <w:rPr>
          <w:color w:val="auto"/>
          <w:shd w:val="clear" w:color="auto" w:fill="FFFFFF"/>
        </w:rPr>
        <w:t xml:space="preserve">submitted for commission membership. </w:t>
      </w:r>
      <w:r w:rsidR="00812CBF" w:rsidRPr="00812CBF">
        <w:rPr>
          <w:color w:val="auto"/>
          <w:shd w:val="clear" w:color="auto" w:fill="FFFFFF"/>
        </w:rPr>
        <w:t>CSOs critically assess</w:t>
      </w:r>
      <w:r w:rsidR="00812CBF">
        <w:rPr>
          <w:color w:val="auto"/>
          <w:shd w:val="clear" w:color="auto" w:fill="FFFFFF"/>
        </w:rPr>
        <w:t>ed</w:t>
      </w:r>
      <w:r w:rsidR="00812CBF" w:rsidRPr="00812CBF">
        <w:rPr>
          <w:color w:val="auto"/>
          <w:shd w:val="clear" w:color="auto" w:fill="FFFFFF"/>
        </w:rPr>
        <w:t xml:space="preserve"> the provision allowing the CSB to refuse to create the independent commission if there are not enough applications </w:t>
      </w:r>
      <w:r w:rsidR="001D3B0F">
        <w:rPr>
          <w:color w:val="auto"/>
          <w:shd w:val="clear" w:color="auto" w:fill="FFFFFF"/>
        </w:rPr>
        <w:t>submitted</w:t>
      </w:r>
      <w:r w:rsidR="00C028CE">
        <w:rPr>
          <w:color w:val="auto"/>
          <w:shd w:val="clear" w:color="auto" w:fill="FFFFFF"/>
        </w:rPr>
        <w:t xml:space="preserve">, arguing that </w:t>
      </w:r>
      <w:r w:rsidR="00C028CE">
        <w:t>civic groups and journalists should be given an opportunity to apply and help fill the academia quota</w:t>
      </w:r>
      <w:r w:rsidR="001D3B0F">
        <w:rPr>
          <w:color w:val="auto"/>
          <w:shd w:val="clear" w:color="auto" w:fill="FFFFFF"/>
        </w:rPr>
        <w:t xml:space="preserve">. They also complained about the </w:t>
      </w:r>
      <w:r w:rsidR="00812CBF" w:rsidRPr="00812CBF">
        <w:rPr>
          <w:color w:val="auto"/>
          <w:shd w:val="clear" w:color="auto" w:fill="FFFFFF"/>
        </w:rPr>
        <w:t>CSB</w:t>
      </w:r>
      <w:r w:rsidR="001D3B0F">
        <w:rPr>
          <w:color w:val="auto"/>
          <w:shd w:val="clear" w:color="auto" w:fill="FFFFFF"/>
        </w:rPr>
        <w:t>’s lack of efforts</w:t>
      </w:r>
      <w:r w:rsidR="00812CBF" w:rsidRPr="00812CBF">
        <w:rPr>
          <w:color w:val="auto"/>
          <w:shd w:val="clear" w:color="auto" w:fill="FFFFFF"/>
        </w:rPr>
        <w:t xml:space="preserve"> to </w:t>
      </w:r>
      <w:r w:rsidR="001D3B0F">
        <w:rPr>
          <w:color w:val="auto"/>
          <w:shd w:val="clear" w:color="auto" w:fill="FFFFFF"/>
        </w:rPr>
        <w:t xml:space="preserve">proactively </w:t>
      </w:r>
      <w:r w:rsidR="00812CBF" w:rsidRPr="00812CBF">
        <w:rPr>
          <w:color w:val="auto"/>
          <w:shd w:val="clear" w:color="auto" w:fill="FFFFFF"/>
        </w:rPr>
        <w:t xml:space="preserve">promote the </w:t>
      </w:r>
      <w:r w:rsidR="009F2DCB">
        <w:rPr>
          <w:color w:val="auto"/>
          <w:shd w:val="clear" w:color="auto" w:fill="FFFFFF"/>
        </w:rPr>
        <w:t xml:space="preserve">application </w:t>
      </w:r>
      <w:r w:rsidR="00812CBF" w:rsidRPr="00812CBF">
        <w:rPr>
          <w:color w:val="auto"/>
          <w:shd w:val="clear" w:color="auto" w:fill="FFFFFF"/>
        </w:rPr>
        <w:t>announc</w:t>
      </w:r>
      <w:r w:rsidR="009F2DCB">
        <w:rPr>
          <w:color w:val="auto"/>
          <w:shd w:val="clear" w:color="auto" w:fill="FFFFFF"/>
        </w:rPr>
        <w:t xml:space="preserve">ement </w:t>
      </w:r>
      <w:r w:rsidR="00812CBF" w:rsidRPr="00812CBF">
        <w:rPr>
          <w:color w:val="auto"/>
          <w:shd w:val="clear" w:color="auto" w:fill="FFFFFF"/>
        </w:rPr>
        <w:t>through various online and offline sources.</w:t>
      </w:r>
      <w:r w:rsidR="00812CBF">
        <w:rPr>
          <w:color w:val="auto"/>
          <w:shd w:val="clear" w:color="auto" w:fill="FFFFFF"/>
        </w:rPr>
        <w:t xml:space="preserve"> </w:t>
      </w:r>
      <w:r w:rsidR="009F2DCB">
        <w:rPr>
          <w:color w:val="auto"/>
          <w:shd w:val="clear" w:color="auto" w:fill="FFFFFF"/>
        </w:rPr>
        <w:t xml:space="preserve">The creation of the commission </w:t>
      </w:r>
      <w:r>
        <w:rPr>
          <w:color w:val="auto"/>
          <w:shd w:val="clear" w:color="auto" w:fill="FFFFFF"/>
        </w:rPr>
        <w:t xml:space="preserve">was an important part of the commitment since the commission was supposed to independently select public officials’ asset declarations for monitoring based on the special criteria aimed to fight the corruption in public service. Therefore, the status of the commitment remained incomplete at the end of term point.  </w:t>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rsidR="00617421" w:rsidRDefault="00617421" w:rsidP="00583E83">
      <w:pPr>
        <w:rPr>
          <w:b/>
          <w:color w:val="000000" w:themeColor="text1"/>
        </w:rPr>
      </w:pPr>
      <w:r>
        <w:rPr>
          <w:b/>
          <w:color w:val="000000" w:themeColor="text1"/>
        </w:rPr>
        <w:t>Public Accountability: Major</w:t>
      </w:r>
    </w:p>
    <w:p w:rsidR="00617421" w:rsidRDefault="00617421" w:rsidP="00583E83">
      <w:pPr>
        <w:rPr>
          <w:b/>
          <w:color w:val="000000" w:themeColor="text1"/>
        </w:rPr>
      </w:pPr>
    </w:p>
    <w:p w:rsidR="00617421" w:rsidRDefault="00366942" w:rsidP="00583E83">
      <w:r>
        <w:t xml:space="preserve">Prior to this commitment, </w:t>
      </w:r>
      <w:r w:rsidRPr="003C13EE">
        <w:t>there was no official mechanism to verify the a</w:t>
      </w:r>
      <w:r>
        <w:t xml:space="preserve">ccuracy of </w:t>
      </w:r>
      <w:r w:rsidRPr="003C13EE">
        <w:t>public officials</w:t>
      </w:r>
      <w:r>
        <w:t>’ asset declarations.</w:t>
      </w:r>
      <w:r w:rsidR="00C71B50">
        <w:rPr>
          <w:color w:val="000000" w:themeColor="text1"/>
        </w:rPr>
        <w:t xml:space="preserve"> </w:t>
      </w:r>
      <w:r w:rsidR="00617421">
        <w:rPr>
          <w:color w:val="000000" w:themeColor="text1"/>
        </w:rPr>
        <w:t xml:space="preserve">During the reporting period, the CSB used its electronic system to randomly select a total of 284 asset declarations for </w:t>
      </w:r>
      <w:r w:rsidR="00C71B50">
        <w:rPr>
          <w:color w:val="000000" w:themeColor="text1"/>
        </w:rPr>
        <w:t>verification</w:t>
      </w:r>
      <w:r w:rsidR="00617421">
        <w:rPr>
          <w:color w:val="000000" w:themeColor="text1"/>
        </w:rPr>
        <w:t>. In addition, the CSB received three reports from external stakeholders, including Transparency International Georgia, to monitor asset declarations of public servants working in the offices of regional governors, local municipal bodies, courts and the Parliament. Of these, the CSB</w:t>
      </w:r>
      <w:r w:rsidR="005341E2">
        <w:rPr>
          <w:color w:val="000000" w:themeColor="text1"/>
        </w:rPr>
        <w:t xml:space="preserve"> found irregularities and missing information in</w:t>
      </w:r>
      <w:r w:rsidR="00617421">
        <w:rPr>
          <w:color w:val="000000" w:themeColor="text1"/>
        </w:rPr>
        <w:t xml:space="preserve"> 224 declarations and therefore fined their authors or referred them to the Prosecutor’s Office.</w:t>
      </w:r>
      <w:r w:rsidR="00617421">
        <w:rPr>
          <w:rStyle w:val="EndnoteReference"/>
          <w:color w:val="000000" w:themeColor="text1"/>
        </w:rPr>
        <w:endnoteReference w:id="32"/>
      </w:r>
      <w:r w:rsidR="00484A5F">
        <w:rPr>
          <w:color w:val="000000" w:themeColor="text1"/>
        </w:rPr>
        <w:t xml:space="preserve"> </w:t>
      </w:r>
      <w:r w:rsidR="00617421">
        <w:rPr>
          <w:color w:val="000000" w:themeColor="text1"/>
        </w:rPr>
        <w:t xml:space="preserve">Based on the recent amendments to the law, new sanctions were introduced for the violation of asset declaration submission rules, such as reprimand for minor technical errors and 20 percent deduction of the salary in the amount of no less than GEL 500 for providing incomplete or wrong data. At the same time, GEL 1000 for the public official’s </w:t>
      </w:r>
      <w:r w:rsidR="00617421">
        <w:t>failure to submit the declaration in time and the criminal liability for the repeated failure to do so has remained.</w:t>
      </w:r>
      <w:r w:rsidR="00617421">
        <w:rPr>
          <w:rStyle w:val="EndnoteReference"/>
        </w:rPr>
        <w:endnoteReference w:id="33"/>
      </w:r>
      <w:r w:rsidR="00617421">
        <w:t xml:space="preserve"> Finally, in December 2017</w:t>
      </w:r>
      <w:r w:rsidR="00484A5F">
        <w:t>,</w:t>
      </w:r>
      <w:r w:rsidR="00617421">
        <w:t xml:space="preserve"> the CSB published its first report summarizing the monitoring results of asset declarations described above.</w:t>
      </w:r>
      <w:r w:rsidR="00617421">
        <w:rPr>
          <w:rStyle w:val="EndnoteReference"/>
        </w:rPr>
        <w:endnoteReference w:id="34"/>
      </w:r>
      <w:r w:rsidR="00617421">
        <w:t xml:space="preserve"> </w:t>
      </w:r>
    </w:p>
    <w:p w:rsidR="00617421" w:rsidRDefault="00617421" w:rsidP="00583E83"/>
    <w:p w:rsidR="00617421" w:rsidRDefault="00617421" w:rsidP="00583E83">
      <w:r>
        <w:t xml:space="preserve">The aforementioned work of the CSB in monitoring the asset declarations of Georgian public officials </w:t>
      </w:r>
      <w:r w:rsidR="00484A5F">
        <w:t>constitutes</w:t>
      </w:r>
      <w:r>
        <w:t xml:space="preserve"> a major step forward for government accountability in the fight against corruption in public service, especially considering the Bureau’s willingness to address the requests of external stakeholders to monitor suspicious declarations. However, th</w:t>
      </w:r>
      <w:r w:rsidR="00520A1F">
        <w:t>e</w:t>
      </w:r>
      <w:r>
        <w:t xml:space="preserve">se efforts </w:t>
      </w:r>
      <w:r w:rsidR="00520A1F">
        <w:t>were</w:t>
      </w:r>
      <w:r>
        <w:t xml:space="preserve"> limited due to the CSB’s inability to establish an independent commission of CSOs and academia representatives who were supposed to use more robust criteria for selecting the </w:t>
      </w:r>
      <w:r>
        <w:lastRenderedPageBreak/>
        <w:t xml:space="preserve">declarations for monitoring. The establishment of this commission would contribute more significantly to preventing the corrupt behavior of public officials. </w:t>
      </w:r>
    </w:p>
    <w:p w:rsidR="00C028CE" w:rsidRDefault="00C028CE" w:rsidP="00583E83"/>
    <w:p w:rsidR="00C028CE" w:rsidRPr="003F4F8B" w:rsidRDefault="00C028CE" w:rsidP="00C028CE">
      <w:pPr>
        <w:pStyle w:val="CommentText"/>
        <w:rPr>
          <w:sz w:val="22"/>
          <w:szCs w:val="22"/>
        </w:rPr>
      </w:pPr>
      <w:r w:rsidRPr="003F4F8B">
        <w:rPr>
          <w:sz w:val="22"/>
          <w:szCs w:val="22"/>
        </w:rPr>
        <w:t>Transparency International and the Institute for Development of Freedom of Information (IDFI) both acknowledged the major change in practice in terms of the CSB’s asset declaration monitoring. They especially valued the CSB’s practice to start monitoring those declarations the requests on which are submitted by external stakeholders. They also commended the categorization of sanctions for minor and grave violations. Had the CSB created the independent commission, CSOs would have assessed this commitment as outstanding.</w:t>
      </w:r>
      <w:r w:rsidR="00CA7AB7" w:rsidRPr="003F4F8B">
        <w:rPr>
          <w:rStyle w:val="EndnoteReference"/>
          <w:sz w:val="22"/>
          <w:szCs w:val="22"/>
        </w:rPr>
        <w:endnoteReference w:id="35"/>
      </w:r>
      <w:r w:rsidRPr="003F4F8B">
        <w:rPr>
          <w:sz w:val="22"/>
          <w:szCs w:val="22"/>
        </w:rPr>
        <w:t xml:space="preserve"> </w:t>
      </w:r>
      <w:r w:rsidR="005341E2" w:rsidRPr="003F4F8B">
        <w:rPr>
          <w:rStyle w:val="EndnoteReference"/>
          <w:sz w:val="22"/>
          <w:szCs w:val="22"/>
        </w:rPr>
        <w:endnoteReference w:id="36"/>
      </w:r>
    </w:p>
    <w:p w:rsidR="00C028CE" w:rsidRDefault="00C028CE" w:rsidP="00583E83"/>
    <w:p w:rsidR="00617421" w:rsidRDefault="00617421" w:rsidP="00FE5928">
      <w:pPr>
        <w:pStyle w:val="Heading3"/>
      </w:pPr>
      <w:r w:rsidRPr="0010229D">
        <w:t xml:space="preserve">Carried </w:t>
      </w:r>
      <w:r w:rsidRPr="004B1C12">
        <w:t>F</w:t>
      </w:r>
      <w:r w:rsidRPr="0010229D">
        <w:t>orward?</w:t>
      </w:r>
    </w:p>
    <w:p w:rsidR="00C71B50" w:rsidRDefault="009D6CE4" w:rsidP="00D720B6">
      <w:pPr>
        <w:rPr>
          <w:lang w:val="en-GB"/>
        </w:rPr>
      </w:pPr>
      <w:r w:rsidRPr="00407534">
        <w:rPr>
          <w:color w:val="000000" w:themeColor="text1"/>
        </w:rPr>
        <w:t>The commitment was not carried into the new Action Plan 2018-20</w:t>
      </w:r>
      <w:r w:rsidR="00C71B50">
        <w:rPr>
          <w:color w:val="000000" w:themeColor="text1"/>
        </w:rPr>
        <w:t>19</w:t>
      </w:r>
      <w:r w:rsidR="00617421" w:rsidRPr="002C5681">
        <w:rPr>
          <w:lang w:val="en-GB"/>
        </w:rPr>
        <w:t>.</w:t>
      </w:r>
    </w:p>
    <w:p w:rsidR="00CA7AB7" w:rsidRDefault="00C71B50" w:rsidP="00CA7AB7">
      <w:pPr>
        <w:pStyle w:val="CommentText"/>
      </w:pPr>
      <w:r>
        <w:rPr>
          <w:lang w:val="en-GB"/>
        </w:rPr>
        <w:t xml:space="preserve">However, this is an important area of work for anti-corruption efforts in the country. </w:t>
      </w:r>
    </w:p>
    <w:p w:rsidR="00617421" w:rsidRPr="007D1ACB" w:rsidRDefault="00CA7AB7" w:rsidP="00D720B6">
      <w:r>
        <w:rPr>
          <w:lang w:val="en-GB"/>
        </w:rPr>
        <w:t xml:space="preserve">Civil society </w:t>
      </w:r>
      <w:r w:rsidR="00617421" w:rsidRPr="002C5681">
        <w:rPr>
          <w:lang w:val="en-GB"/>
        </w:rPr>
        <w:t>recommended</w:t>
      </w:r>
      <w:r w:rsidR="009D6CE4">
        <w:rPr>
          <w:lang w:val="en-GB"/>
        </w:rPr>
        <w:t xml:space="preserve"> that</w:t>
      </w:r>
      <w:r w:rsidR="00617421" w:rsidRPr="002C5681">
        <w:rPr>
          <w:lang w:val="en-GB"/>
        </w:rPr>
        <w:t xml:space="preserve"> the government determine </w:t>
      </w:r>
      <w:r w:rsidR="00617421" w:rsidRPr="002C5681">
        <w:t xml:space="preserve">exactly how many declarations of public officials can be </w:t>
      </w:r>
      <w:r w:rsidR="00093DA7">
        <w:t>verified</w:t>
      </w:r>
      <w:r w:rsidR="00617421" w:rsidRPr="002C5681">
        <w:t xml:space="preserve"> from each agency and which specific types of officials can submit classified declarations. </w:t>
      </w:r>
      <w:r w:rsidR="00617421" w:rsidRPr="002C5681">
        <w:rPr>
          <w:szCs w:val="22"/>
        </w:rPr>
        <w:t xml:space="preserve">They also believe that the CSB should not refuse to create the independent commission </w:t>
      </w:r>
      <w:r w:rsidR="00F54D21">
        <w:rPr>
          <w:szCs w:val="22"/>
        </w:rPr>
        <w:t>based on</w:t>
      </w:r>
      <w:r w:rsidR="00617421" w:rsidRPr="002C5681">
        <w:rPr>
          <w:szCs w:val="22"/>
        </w:rPr>
        <w:t xml:space="preserve"> insufficient number of applications and should amend t</w:t>
      </w:r>
      <w:r w:rsidR="00617421">
        <w:rPr>
          <w:szCs w:val="22"/>
        </w:rPr>
        <w:t>he law to allow more flexibility in this regard</w:t>
      </w:r>
      <w:r w:rsidR="00617421" w:rsidRPr="002C5681">
        <w:rPr>
          <w:szCs w:val="22"/>
        </w:rPr>
        <w:t>. For instance, the creation of the commission should not only be dependent on the number of applications received from CSO or academia representatives and other interested stakeholders such as journalists should also be given a chance to apply and to fill the membership quota.</w:t>
      </w:r>
      <w:r w:rsidR="00617421">
        <w:rPr>
          <w:rStyle w:val="EndnoteReference"/>
          <w:szCs w:val="22"/>
        </w:rPr>
        <w:endnoteReference w:id="37"/>
      </w:r>
      <w:r w:rsidR="00617421" w:rsidRPr="002C5681">
        <w:rPr>
          <w:szCs w:val="22"/>
        </w:rPr>
        <w:t xml:space="preserve"> A related suggestion is to promote the announcement for the submission of applications for the commission membership beyond the CSB webpage, including th</w:t>
      </w:r>
      <w:r w:rsidR="00617421">
        <w:rPr>
          <w:szCs w:val="22"/>
        </w:rPr>
        <w:t xml:space="preserve">rough various online, offline, and social media </w:t>
      </w:r>
      <w:r w:rsidR="00617421" w:rsidRPr="002C5681">
        <w:rPr>
          <w:szCs w:val="22"/>
        </w:rPr>
        <w:t>sources</w:t>
      </w:r>
      <w:r w:rsidR="00617421">
        <w:rPr>
          <w:szCs w:val="22"/>
        </w:rPr>
        <w:t xml:space="preserve">. </w:t>
      </w:r>
      <w:r w:rsidR="007D1ACB">
        <w:t>The government plans to create the independent commission and to proactively promote the application process for commission membership as per CSO recommendations.</w:t>
      </w:r>
    </w:p>
    <w:p w:rsidR="00617421" w:rsidRPr="003876CC" w:rsidRDefault="00617421" w:rsidP="00D720B6">
      <w:pPr>
        <w:rPr>
          <w:szCs w:val="22"/>
          <w:lang w:val="ka-GE"/>
        </w:rPr>
      </w:pPr>
    </w:p>
    <w:p w:rsidR="00617421" w:rsidRPr="003876CC" w:rsidRDefault="00617421" w:rsidP="00D720B6">
      <w:r>
        <w:t xml:space="preserve">Finally, stakeholders suggested </w:t>
      </w:r>
      <w:r w:rsidR="00F54D21">
        <w:t xml:space="preserve">that </w:t>
      </w:r>
      <w:r>
        <w:t>the government establish an independent anti-corruption agency with an authority to investigate corruption cases of high-level politicians and government officials.</w:t>
      </w:r>
      <w:r w:rsidR="00CA7AB7" w:rsidRPr="00CA7AB7">
        <w:t xml:space="preserve"> </w:t>
      </w:r>
      <w:r w:rsidR="00CA7AB7">
        <w:t>The current mechanism, anti-corruption council at the Ministry of Justice, which is composed of government representatives together with a few CSOs does not have the mandate to investigate corruption cases involving high-level politicians, something that CSOs have criticized for a long time. At the same time, the State Security Service is also reluctant to investigate such cases involving the ruling party members or high level state officials. As an alternative, CSOs suggest creating a completely independent body that would be given an authority to investigate the cases of so called “elite corruption”. They believe this would give the fight against corruption considerable momentum at all levels of government in Georgia.</w:t>
      </w:r>
    </w:p>
    <w:p w:rsidR="00617421" w:rsidRDefault="00617421">
      <w:pPr>
        <w:tabs>
          <w:tab w:val="clear" w:pos="2880"/>
        </w:tabs>
        <w:rPr>
          <w:rFonts w:eastAsiaTheme="majorEastAsia"/>
          <w:b/>
          <w:bCs/>
          <w:color w:val="1F497D" w:themeColor="text2"/>
          <w:sz w:val="26"/>
          <w:szCs w:val="26"/>
        </w:rPr>
      </w:pPr>
      <w:bookmarkStart w:id="38" w:name="_Toc502917029"/>
      <w:r>
        <w:br w:type="page"/>
      </w:r>
    </w:p>
    <w:p w:rsidR="00617421" w:rsidRDefault="00617421" w:rsidP="000149D5">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Default="00617421" w:rsidP="000149D5">
      <w:pPr>
        <w:pStyle w:val="Heading2"/>
      </w:pPr>
      <w:bookmarkStart w:id="39" w:name="_Toc409220382"/>
      <w:r>
        <w:lastRenderedPageBreak/>
        <w:t>10. Establishing unified regulations to publish court decisions</w:t>
      </w:r>
      <w:bookmarkEnd w:id="38"/>
      <w:bookmarkEnd w:id="39"/>
      <w:r>
        <w:t xml:space="preserve"> </w:t>
      </w:r>
    </w:p>
    <w:p w:rsidR="00617421" w:rsidRDefault="00617421" w:rsidP="000149D5">
      <w:pPr>
        <w:tabs>
          <w:tab w:val="left" w:pos="1840"/>
        </w:tabs>
      </w:pPr>
      <w:r>
        <w:tab/>
      </w:r>
    </w:p>
    <w:p w:rsidR="00617421" w:rsidRPr="00D167D9" w:rsidRDefault="00617421" w:rsidP="000149D5">
      <w:pPr>
        <w:rPr>
          <w:b/>
          <w:szCs w:val="22"/>
        </w:rPr>
      </w:pPr>
      <w:r w:rsidRPr="00D167D9">
        <w:rPr>
          <w:b/>
          <w:szCs w:val="22"/>
        </w:rPr>
        <w:t xml:space="preserve">Commitment Text: </w:t>
      </w:r>
    </w:p>
    <w:p w:rsidR="00617421" w:rsidRDefault="00617421" w:rsidP="000149D5">
      <w:pPr>
        <w:pStyle w:val="APQuotefeaturetol"/>
      </w:pPr>
      <w:r>
        <w:t>Establishing unified regulations to publish court decisions aims to improve transparency, accountability and efficiency of the court system. This commitment intends to increase trust between a citizen and the court and also to improve access to information.</w:t>
      </w:r>
    </w:p>
    <w:p w:rsidR="00617421" w:rsidRDefault="00617421" w:rsidP="000149D5">
      <w:pPr>
        <w:pStyle w:val="APQuotefeaturetol"/>
      </w:pPr>
      <w:r>
        <w:t>The working group will develop a project aiming to define key directions and principles in publishing court decisions through unified system. The given project will be submitted to the High Council of Justice for its approval.</w:t>
      </w:r>
    </w:p>
    <w:p w:rsidR="00617421" w:rsidRDefault="00617421" w:rsidP="000149D5">
      <w:pPr>
        <w:pStyle w:val="APQuotefeaturetol"/>
      </w:pPr>
      <w:r>
        <w:t>Based on the unified regulations elaborated, the court decisions will be published on the court webpage.</w:t>
      </w:r>
    </w:p>
    <w:p w:rsidR="00617421" w:rsidRDefault="00617421" w:rsidP="000149D5">
      <w:pPr>
        <w:pStyle w:val="APQuotefeaturetol"/>
      </w:pPr>
      <w:r w:rsidRPr="00BF660E">
        <w:t>In the framework of the third wave of the reform, in compliance with the Order of the Supreme Court Chairperson (Order #30-s/18.12.2015) a working group was formed that will develop main directions and principles for establishing a unified standard to improve court decision accessibility.</w:t>
      </w:r>
      <w:r w:rsidRPr="00BF660E">
        <w:br/>
        <w:t xml:space="preserve">The objective of the working group is to work out recommendations on the rules concerning issuance of general court decisions, also concerning the rules for anonymization of personal data for transferring them to the third person. </w:t>
      </w:r>
    </w:p>
    <w:p w:rsidR="00617421" w:rsidRPr="00AA2EE0" w:rsidRDefault="00617421" w:rsidP="000149D5">
      <w:pPr>
        <w:pStyle w:val="APQuotefeaturetol"/>
      </w:pPr>
      <w:r w:rsidRPr="00520796">
        <w:t>M</w:t>
      </w:r>
      <w:r w:rsidRPr="00AA2EE0">
        <w:t xml:space="preserve">ain objective </w:t>
      </w:r>
      <w:r>
        <w:t>–</w:t>
      </w:r>
      <w:r w:rsidRPr="00AA2EE0">
        <w:t xml:space="preserve"> Improve accountability and transparency of the court system, also taking into account high public interest, improve information accessibility; publicity of the court decisions shall be ensured by observing international and national standards of the personal data protection</w:t>
      </w:r>
      <w:r>
        <w:t>.</w:t>
      </w:r>
    </w:p>
    <w:p w:rsidR="00617421" w:rsidRDefault="00617421" w:rsidP="000149D5"/>
    <w:p w:rsidR="00617421" w:rsidRPr="00505C1E" w:rsidRDefault="00617421" w:rsidP="000149D5">
      <w:pPr>
        <w:pStyle w:val="Normalrglronly"/>
      </w:pPr>
      <w:r w:rsidRPr="00505C1E">
        <w:t xml:space="preserve">Responsible institution: </w:t>
      </w:r>
      <w:r w:rsidRPr="00505C1E">
        <w:rPr>
          <w:noProof/>
        </w:rPr>
        <w:t>Supreme Court of Georgia</w:t>
      </w:r>
    </w:p>
    <w:p w:rsidR="00617421" w:rsidRPr="00505C1E" w:rsidRDefault="00617421" w:rsidP="000149D5">
      <w:pPr>
        <w:pStyle w:val="Normalrglronly"/>
      </w:pPr>
      <w:r w:rsidRPr="00505C1E">
        <w:t xml:space="preserve">Supporting institution(s): </w:t>
      </w:r>
      <w:r w:rsidRPr="00505C1E">
        <w:rPr>
          <w:noProof/>
        </w:rPr>
        <w:t>General Courts, High Council of Justice of Georgia</w:t>
      </w:r>
    </w:p>
    <w:p w:rsidR="00617421" w:rsidRPr="00505C1E" w:rsidRDefault="00617421" w:rsidP="00505C1E">
      <w:pPr>
        <w:spacing w:after="120"/>
        <w:rPr>
          <w:szCs w:val="22"/>
        </w:rPr>
      </w:pPr>
      <w:r w:rsidRPr="00505C1E">
        <w:rPr>
          <w:szCs w:val="22"/>
        </w:rPr>
        <w:t>Start date: July 2016                             End date: December 2017</w:t>
      </w:r>
    </w:p>
    <w:p w:rsidR="00617421" w:rsidRDefault="00617421" w:rsidP="000149D5">
      <w:pPr>
        <w:rPr>
          <w:szCs w:val="22"/>
        </w:rPr>
      </w:pPr>
    </w:p>
    <w:tbl>
      <w:tblPr>
        <w:tblW w:w="1097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rsidTr="00FB2825">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FB2825">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FB2825">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617421" w:rsidRPr="004B1C12" w:rsidTr="00FB2825">
        <w:trPr>
          <w:trHeight w:val="600"/>
        </w:trPr>
        <w:tc>
          <w:tcPr>
            <w:tcW w:w="1596" w:type="dxa"/>
            <w:vMerge w:val="restart"/>
            <w:tcBorders>
              <w:top w:val="single" w:sz="18" w:space="0" w:color="FFFFFF"/>
              <w:left w:val="single" w:sz="4" w:space="0" w:color="FFFFFF"/>
            </w:tcBorders>
            <w:shd w:val="clear" w:color="auto" w:fill="000000"/>
            <w:vAlign w:val="center"/>
          </w:tcPr>
          <w:p w:rsidR="00617421" w:rsidRPr="0010229D" w:rsidRDefault="00617421" w:rsidP="00C60967">
            <w:pPr>
              <w:rPr>
                <w:color w:val="FFFFFF" w:themeColor="background1"/>
              </w:rPr>
            </w:pPr>
            <w:r w:rsidRPr="00E60731">
              <w:rPr>
                <w:color w:val="FFFFFF" w:themeColor="background1"/>
              </w:rPr>
              <w:t xml:space="preserve">10. </w:t>
            </w:r>
            <w:r w:rsidR="007D1ACB" w:rsidRPr="00E60731">
              <w:rPr>
                <w:color w:val="FFFFFF" w:themeColor="background1"/>
              </w:rPr>
              <w:t>U</w:t>
            </w:r>
            <w:r w:rsidRPr="00E60731">
              <w:rPr>
                <w:color w:val="FFFFFF" w:themeColor="background1"/>
              </w:rPr>
              <w:t>nified regulations to publish court decisions</w:t>
            </w:r>
          </w:p>
        </w:tc>
        <w:tc>
          <w:tcPr>
            <w:tcW w:w="445" w:type="dxa"/>
            <w:vMerge w:val="restart"/>
            <w:tcBorders>
              <w:top w:val="single" w:sz="18" w:space="0" w:color="FFFFFF"/>
              <w:right w:val="single" w:sz="2" w:space="0" w:color="FFFFFF"/>
            </w:tcBorders>
            <w:shd w:val="clear" w:color="auto" w:fill="D6E3BC"/>
            <w:vAlign w:val="center"/>
          </w:tcPr>
          <w:p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EE422E"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10229D" w:rsidRDefault="00617421" w:rsidP="00C60967"/>
        </w:tc>
      </w:tr>
      <w:tr w:rsidR="00617421" w:rsidRPr="004B1C12" w:rsidTr="00FB2825">
        <w:trPr>
          <w:trHeight w:val="636"/>
        </w:trPr>
        <w:tc>
          <w:tcPr>
            <w:tcW w:w="1596" w:type="dxa"/>
            <w:vMerge/>
            <w:tcBorders>
              <w:left w:val="nil"/>
              <w:bottom w:val="single" w:sz="18" w:space="0" w:color="FFFFFF"/>
            </w:tcBorders>
            <w:shd w:val="clear" w:color="auto" w:fill="000000"/>
            <w:vAlign w:val="center"/>
          </w:tcPr>
          <w:p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rsidR="00617421" w:rsidRPr="0010229D" w:rsidRDefault="00617421" w:rsidP="00C60967"/>
        </w:tc>
      </w:tr>
    </w:tbl>
    <w:p w:rsidR="00617421" w:rsidRDefault="00617421" w:rsidP="000149D5">
      <w:pPr>
        <w:rPr>
          <w:szCs w:val="22"/>
        </w:rPr>
      </w:pPr>
    </w:p>
    <w:p w:rsidR="00617421" w:rsidRDefault="00617421" w:rsidP="00FE5928">
      <w:pPr>
        <w:pStyle w:val="Heading3"/>
      </w:pPr>
      <w:r w:rsidRPr="0010229D">
        <w:t xml:space="preserve">Commitment </w:t>
      </w:r>
      <w:r w:rsidRPr="004B1C12">
        <w:t>A</w:t>
      </w:r>
      <w:r w:rsidRPr="0010229D">
        <w:t>im:</w:t>
      </w:r>
    </w:p>
    <w:p w:rsidR="00617421" w:rsidRDefault="00617421" w:rsidP="000149D5">
      <w:r>
        <w:rPr>
          <w:lang w:val="en-GB"/>
        </w:rPr>
        <w:t>Under this commitment, t</w:t>
      </w:r>
      <w:r w:rsidRPr="000149D5">
        <w:t xml:space="preserve">he Supreme Court </w:t>
      </w:r>
      <w:r>
        <w:t xml:space="preserve">aimed to develop </w:t>
      </w:r>
      <w:r w:rsidRPr="000149D5">
        <w:t>key directions and unified standards for publishing court decisions online in a way that would allow easy reuse of this data.</w:t>
      </w:r>
      <w:r>
        <w:t xml:space="preserve"> Before there was no such</w:t>
      </w:r>
      <w:r w:rsidRPr="000149D5">
        <w:t xml:space="preserve"> unified standard </w:t>
      </w:r>
      <w:r w:rsidR="00A27168">
        <w:t>and</w:t>
      </w:r>
      <w:r w:rsidR="00A27168" w:rsidRPr="000149D5">
        <w:t xml:space="preserve"> </w:t>
      </w:r>
      <w:r w:rsidRPr="000149D5">
        <w:t>citizens often face</w:t>
      </w:r>
      <w:r>
        <w:t>d</w:t>
      </w:r>
      <w:r w:rsidRPr="000149D5">
        <w:t xml:space="preserve"> difficulties searching for </w:t>
      </w:r>
      <w:r>
        <w:t xml:space="preserve">court decisions online. </w:t>
      </w:r>
    </w:p>
    <w:p w:rsidR="00617421" w:rsidRPr="0010229D" w:rsidRDefault="00617421" w:rsidP="00FE5928">
      <w:pPr>
        <w:pStyle w:val="Heading3"/>
      </w:pPr>
      <w:r w:rsidRPr="0010229D">
        <w:t>Status</w:t>
      </w:r>
    </w:p>
    <w:p w:rsidR="00617421" w:rsidRDefault="00617421" w:rsidP="000149D5">
      <w:pPr>
        <w:pStyle w:val="Normalrglronly"/>
        <w:rPr>
          <w:b/>
          <w:color w:val="000000" w:themeColor="text1"/>
        </w:rPr>
      </w:pPr>
      <w:r w:rsidRPr="004B1C12">
        <w:rPr>
          <w:b/>
        </w:rPr>
        <w:t xml:space="preserve">Midterm: </w:t>
      </w:r>
      <w:r w:rsidRPr="004B1C12">
        <w:rPr>
          <w:b/>
          <w:color w:val="000000" w:themeColor="text1"/>
        </w:rPr>
        <w:t>Limited</w:t>
      </w:r>
    </w:p>
    <w:p w:rsidR="00617421" w:rsidRPr="00A728F1" w:rsidRDefault="00617421" w:rsidP="000149D5">
      <w:pPr>
        <w:pStyle w:val="Normalrglronly"/>
        <w:rPr>
          <w:rFonts w:ascii="Sylfaen" w:hAnsi="Sylfaen"/>
          <w:b/>
          <w:lang w:val="ka-GE"/>
        </w:rPr>
      </w:pPr>
      <w:r w:rsidRPr="000149D5">
        <w:t xml:space="preserve">At the mid-term, the commitment </w:t>
      </w:r>
      <w:r w:rsidR="007C2861">
        <w:t>had seen</w:t>
      </w:r>
      <w:r w:rsidR="007C2861" w:rsidRPr="000149D5">
        <w:t xml:space="preserve"> </w:t>
      </w:r>
      <w:r w:rsidRPr="000149D5">
        <w:t xml:space="preserve">limited implementation. In July 2016, the Supreme Court created the working group that </w:t>
      </w:r>
      <w:r>
        <w:t xml:space="preserve">consisted of representatives of </w:t>
      </w:r>
      <w:r w:rsidRPr="000149D5">
        <w:t>Supreme, Appellate, and District Courts, as well as the Personal Data Protection Inspector, High Council of Justice and local CSOs (GYLA, IDFI, TI, Lawyers’ Association and the Charter of Journalistic Ethics). This working group developed unified regulations in accordance with the internationally recognized standards, including those on protecting personal data. The regulations were approved by High Council of Justice on 12 September 2016, which published them on its website</w:t>
      </w:r>
      <w:r>
        <w:t xml:space="preserve">. However, due to the complexity of refining technical procedures for publishing decisions online and the lack of funds for buying expensive software necessary for the web design, the Court was not able to launch the unified portal where all court decisions would be published in accordance with the new regulations. </w:t>
      </w:r>
      <w:r w:rsidRPr="00673E1A">
        <w:t>For more information, please see the 2016–2017 IRM midterm report.</w:t>
      </w:r>
    </w:p>
    <w:p w:rsidR="00617421" w:rsidRPr="004B1C12" w:rsidRDefault="00617421" w:rsidP="000149D5">
      <w:pPr>
        <w:pStyle w:val="Normalrglronly"/>
        <w:rPr>
          <w:b/>
          <w:color w:val="000000" w:themeColor="text1"/>
        </w:rPr>
      </w:pPr>
      <w:r w:rsidRPr="004B1C12">
        <w:rPr>
          <w:b/>
        </w:rPr>
        <w:t xml:space="preserve">End of term: </w:t>
      </w:r>
      <w:r>
        <w:rPr>
          <w:b/>
          <w:color w:val="000000" w:themeColor="text1"/>
        </w:rPr>
        <w:t>Limited</w:t>
      </w:r>
    </w:p>
    <w:p w:rsidR="00617421" w:rsidRPr="007C6926" w:rsidRDefault="00617421" w:rsidP="000149D5">
      <w:pPr>
        <w:pStyle w:val="Normalrglronly"/>
        <w:rPr>
          <w:color w:val="auto"/>
          <w:shd w:val="clear" w:color="auto" w:fill="FFFFFF"/>
        </w:rPr>
      </w:pPr>
      <w:r>
        <w:rPr>
          <w:color w:val="auto"/>
          <w:shd w:val="clear" w:color="auto" w:fill="FFFFFF"/>
        </w:rPr>
        <w:t xml:space="preserve">The commitment’s implementation status remained limited at the end of term since the unified online portal was not launched. The Supreme Court plans to launch this portal by end of 2018. The portal would allow users to </w:t>
      </w:r>
      <w:r w:rsidR="00065C4D">
        <w:rPr>
          <w:color w:val="auto"/>
          <w:shd w:val="clear" w:color="auto" w:fill="FFFFFF"/>
        </w:rPr>
        <w:t xml:space="preserve">find information relating to their </w:t>
      </w:r>
      <w:r>
        <w:rPr>
          <w:color w:val="auto"/>
          <w:shd w:val="clear" w:color="auto" w:fill="FFFFFF"/>
        </w:rPr>
        <w:t>court cases</w:t>
      </w:r>
      <w:r w:rsidR="00065C4D">
        <w:rPr>
          <w:color w:val="auto"/>
          <w:shd w:val="clear" w:color="auto" w:fill="FFFFFF"/>
        </w:rPr>
        <w:t>, such as</w:t>
      </w:r>
      <w:r>
        <w:rPr>
          <w:color w:val="auto"/>
          <w:shd w:val="clear" w:color="auto" w:fill="FFFFFF"/>
        </w:rPr>
        <w:t xml:space="preserve"> court sessions, their schedule and minutes, and to download those documents in PDF format. The Court would also provide Application Programming Interface (API) to interested organizations for them to integrate the court data in their own systems.</w:t>
      </w:r>
      <w:r>
        <w:rPr>
          <w:rStyle w:val="EndnoteReference"/>
          <w:color w:val="auto"/>
          <w:shd w:val="clear" w:color="auto" w:fill="FFFFFF"/>
        </w:rPr>
        <w:endnoteReference w:id="38"/>
      </w:r>
      <w:r>
        <w:rPr>
          <w:color w:val="auto"/>
          <w:shd w:val="clear" w:color="auto" w:fill="FFFFFF"/>
        </w:rPr>
        <w:t xml:space="preserve"> </w:t>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rsidR="00617421" w:rsidRDefault="00617421" w:rsidP="000149D5">
      <w:pPr>
        <w:rPr>
          <w:b/>
          <w:color w:val="000000" w:themeColor="text1"/>
        </w:rPr>
      </w:pPr>
      <w:r w:rsidRPr="004B1C12">
        <w:rPr>
          <w:b/>
          <w:color w:val="000000" w:themeColor="text1"/>
        </w:rPr>
        <w:t>Access to I</w:t>
      </w:r>
      <w:r>
        <w:rPr>
          <w:b/>
          <w:color w:val="000000" w:themeColor="text1"/>
        </w:rPr>
        <w:t>nformation: Did Not Change</w:t>
      </w:r>
    </w:p>
    <w:p w:rsidR="00617421" w:rsidRDefault="00617421" w:rsidP="000149D5">
      <w:pPr>
        <w:rPr>
          <w:b/>
          <w:color w:val="000000" w:themeColor="text1"/>
        </w:rPr>
      </w:pPr>
    </w:p>
    <w:p w:rsidR="00617421" w:rsidRPr="00505C1E" w:rsidRDefault="00617421" w:rsidP="000149D5">
      <w:pPr>
        <w:rPr>
          <w:color w:val="000000" w:themeColor="text1"/>
        </w:rPr>
      </w:pPr>
      <w:r>
        <w:rPr>
          <w:color w:val="000000" w:themeColor="text1"/>
        </w:rPr>
        <w:t xml:space="preserve">Given the Supreme Court was not able to launch the unified online portal to include court decisions published in a user-friendly way, there has not been any change in the courts’ existing practice of openness. </w:t>
      </w:r>
    </w:p>
    <w:p w:rsidR="00617421" w:rsidRDefault="00617421" w:rsidP="00FE5928">
      <w:pPr>
        <w:pStyle w:val="Heading3"/>
      </w:pPr>
      <w:r w:rsidRPr="0010229D">
        <w:t xml:space="preserve">Carried </w:t>
      </w:r>
      <w:r w:rsidRPr="004B1C12">
        <w:t>F</w:t>
      </w:r>
      <w:r w:rsidRPr="0010229D">
        <w:t>orward?</w:t>
      </w:r>
    </w:p>
    <w:p w:rsidR="00617421" w:rsidRDefault="007C2861" w:rsidP="000149D5">
      <w:r w:rsidRPr="00407534">
        <w:rPr>
          <w:color w:val="000000" w:themeColor="text1"/>
        </w:rPr>
        <w:t>The commitment was carried into the new Action Plan 2018-20</w:t>
      </w:r>
      <w:r w:rsidR="0008507D">
        <w:rPr>
          <w:color w:val="000000" w:themeColor="text1"/>
        </w:rPr>
        <w:t>19</w:t>
      </w:r>
      <w:r w:rsidR="00617421">
        <w:t>. The 2018-20</w:t>
      </w:r>
      <w:r w:rsidR="0008507D">
        <w:t>19</w:t>
      </w:r>
      <w:r w:rsidR="00617421">
        <w:t xml:space="preserve"> OGP national action plan includes the Supreme Court’s commitment</w:t>
      </w:r>
      <w:r w:rsidR="00D31314">
        <w:t>, Commitment 9,</w:t>
      </w:r>
      <w:r w:rsidR="00617421">
        <w:t xml:space="preserve"> to proactively publish court decisions in a unified database at </w:t>
      </w:r>
      <w:hyperlink r:id="rId20" w:history="1">
        <w:r w:rsidR="00617421" w:rsidRPr="004A072C">
          <w:rPr>
            <w:rStyle w:val="Hyperlink"/>
          </w:rPr>
          <w:t>http://info.court.ge</w:t>
        </w:r>
      </w:hyperlink>
      <w:r w:rsidR="00617421">
        <w:t xml:space="preserve">. This redesigned portal would serve as a single registry of court decisions of all three tiers of courts - </w:t>
      </w:r>
      <w:r w:rsidR="00617421" w:rsidRPr="000149D5">
        <w:t>Supreme, Appellate, and District Courts</w:t>
      </w:r>
      <w:r w:rsidR="00617421">
        <w:t>. The portal’s new search system would contain the list of final court decisions, including those with the concealed parts and names; public notifications; separate sections for complainants, and information about the appointed court sessions.</w:t>
      </w:r>
      <w:r w:rsidR="00617421">
        <w:rPr>
          <w:rStyle w:val="EndnoteReference"/>
        </w:rPr>
        <w:endnoteReference w:id="39"/>
      </w:r>
      <w:r w:rsidR="00617421">
        <w:t xml:space="preserve"> </w:t>
      </w:r>
    </w:p>
    <w:p w:rsidR="00065C4D" w:rsidRDefault="00065C4D" w:rsidP="00065C4D">
      <w:pPr>
        <w:rPr>
          <w:rFonts w:eastAsiaTheme="majorEastAsia"/>
          <w:b/>
          <w:bCs/>
          <w:color w:val="1F497D" w:themeColor="text2"/>
          <w:sz w:val="26"/>
          <w:szCs w:val="26"/>
        </w:rPr>
      </w:pPr>
      <w:bookmarkStart w:id="40" w:name="_Toc525759428"/>
    </w:p>
    <w:p w:rsidR="00065C4D" w:rsidRPr="00065C4D" w:rsidRDefault="00065C4D" w:rsidP="00065C4D">
      <w:pPr>
        <w:sectPr w:rsidR="00065C4D" w:rsidRPr="00065C4D"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r w:rsidRPr="00065C4D">
        <w:t xml:space="preserve">CSOs </w:t>
      </w:r>
      <w:r>
        <w:t>recommend that the Supreme Court disclose data on criminal charges of public officials as well as the information of organizations involved in the court disputes.</w:t>
      </w:r>
    </w:p>
    <w:p w:rsidR="00606261" w:rsidRDefault="00606261" w:rsidP="00821026">
      <w:pPr>
        <w:pStyle w:val="Heading2"/>
        <w:sectPr w:rsidR="0060626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Pr="004B1C12" w:rsidRDefault="00617421" w:rsidP="00821026">
      <w:pPr>
        <w:pStyle w:val="Heading2"/>
      </w:pPr>
      <w:bookmarkStart w:id="41" w:name="_Toc409220383"/>
      <w:r>
        <w:lastRenderedPageBreak/>
        <w:t>11</w:t>
      </w:r>
      <w:r w:rsidRPr="004B1C12">
        <w:t>.</w:t>
      </w:r>
      <w:bookmarkEnd w:id="40"/>
      <w:r w:rsidRPr="00AA6C7A">
        <w:t xml:space="preserve"> Development of transparency and integrity strategy and action plan in the field of regional development and infrastructure</w:t>
      </w:r>
      <w:bookmarkEnd w:id="41"/>
    </w:p>
    <w:p w:rsidR="00617421" w:rsidRDefault="00617421" w:rsidP="00821026">
      <w:pPr>
        <w:pStyle w:val="Normalrglronly"/>
        <w:rPr>
          <w:b/>
        </w:rPr>
      </w:pPr>
    </w:p>
    <w:p w:rsidR="00617421" w:rsidRDefault="00617421" w:rsidP="00821026">
      <w:pPr>
        <w:pStyle w:val="Normalrglronly"/>
        <w:rPr>
          <w:b/>
        </w:rPr>
      </w:pPr>
      <w:r w:rsidRPr="004B1C12">
        <w:rPr>
          <w:b/>
        </w:rPr>
        <w:t>Commitment Text:</w:t>
      </w:r>
    </w:p>
    <w:p w:rsidR="00617421" w:rsidRDefault="004A650E" w:rsidP="004A650E">
      <w:pPr>
        <w:pStyle w:val="APQuotefeaturetol"/>
      </w:pPr>
      <w:r>
        <w:t xml:space="preserve">The Ministry of Regional Development and Infrastructure of Georgia (hereafter, </w:t>
      </w:r>
      <w:r w:rsidR="00617421">
        <w:t>Ministry of Infrastructure) disposes huge amounts of budget funds annually. Hence, it is expedient to further improve the Ministry’s standard of transparency and integrity. The Ministry of Infrastructure, together with relevant international and nongovernmental organizations, is currently working on the development of the Transparency and Integrity Strategy and Action Plan in the Regional Development and Infrastructure. In the given strategy document the standards of transparency and integrity will be elaborated for the Ministry of Infrastructure and the entities under its system or management. In order to introduce these standards, an Action Plan will be developed. The introduction of the standards set forth in the document will eventually facilitate improvement of accountability and efficiency of the Ministry.</w:t>
      </w:r>
    </w:p>
    <w:p w:rsidR="00617421" w:rsidRPr="007D07EA" w:rsidRDefault="00617421" w:rsidP="00821026">
      <w:pPr>
        <w:pStyle w:val="Normalrglronly"/>
      </w:pPr>
      <w:r w:rsidRPr="007D07EA">
        <w:t>Responsible institution</w:t>
      </w:r>
      <w:r>
        <w:t>(s)</w:t>
      </w:r>
      <w:r w:rsidRPr="007D07EA">
        <w:t xml:space="preserve">: </w:t>
      </w:r>
      <w:r w:rsidRPr="007D07EA">
        <w:rPr>
          <w:noProof/>
        </w:rPr>
        <w:t>Ministry of Regional Development and Infrastructure of Georgia</w:t>
      </w:r>
    </w:p>
    <w:p w:rsidR="00617421" w:rsidRPr="007D07EA" w:rsidRDefault="00617421" w:rsidP="00821026">
      <w:pPr>
        <w:pStyle w:val="Normalrglronly"/>
      </w:pPr>
      <w:r w:rsidRPr="007D07EA">
        <w:t>Supporting institution(s): Institute for Development of Freedom of Information (IDFI), U.S. Agency for International Development (USAID), Good Governance Initiative in Georgia (GGI) Program</w:t>
      </w:r>
    </w:p>
    <w:p w:rsidR="00617421" w:rsidRDefault="00617421" w:rsidP="00821026">
      <w:pPr>
        <w:pStyle w:val="Normalrglronly"/>
        <w:tabs>
          <w:tab w:val="center" w:pos="4536"/>
        </w:tabs>
      </w:pPr>
      <w:r w:rsidRPr="004B1C12">
        <w:t xml:space="preserve">Start Date:    </w:t>
      </w:r>
      <w:r>
        <w:t>2016</w:t>
      </w:r>
      <w:r w:rsidRPr="004B1C12">
        <w:t xml:space="preserve">           End Date: </w:t>
      </w:r>
      <w:r>
        <w:tab/>
        <w:t>March 2017</w:t>
      </w:r>
    </w:p>
    <w:p w:rsidR="00617421" w:rsidRDefault="00617421" w:rsidP="00821026">
      <w:pPr>
        <w:pStyle w:val="Normalrglronly"/>
        <w:tabs>
          <w:tab w:val="center" w:pos="4536"/>
        </w:tabs>
      </w:pPr>
    </w:p>
    <w:tbl>
      <w:tblPr>
        <w:tblW w:w="10971"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617421" w:rsidRPr="006E7C15"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6E7C15" w:rsidRDefault="00617421" w:rsidP="00821026">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6E7C15" w:rsidRDefault="00617421" w:rsidP="00821026">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rsidR="00617421" w:rsidRPr="006E7C15" w:rsidRDefault="00617421" w:rsidP="00821026">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6E7C15" w:rsidRDefault="00617421" w:rsidP="00821026">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6E7C15" w:rsidRDefault="00617421" w:rsidP="00821026">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6E7C15" w:rsidRDefault="00617421" w:rsidP="00821026">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6E7C15" w:rsidRDefault="00617421" w:rsidP="00821026">
            <w:r w:rsidRPr="006E7C15">
              <w:t>Did It Open Government?</w:t>
            </w:r>
          </w:p>
        </w:tc>
      </w:tr>
      <w:tr w:rsidR="00617421" w:rsidRPr="006E7C15" w:rsidTr="00E60731">
        <w:trPr>
          <w:trHeight w:val="373"/>
        </w:trPr>
        <w:tc>
          <w:tcPr>
            <w:tcW w:w="1596" w:type="dxa"/>
            <w:vMerge/>
            <w:tcBorders>
              <w:left w:val="single" w:sz="4" w:space="0" w:color="FFFFFF"/>
              <w:right w:val="single" w:sz="18" w:space="0" w:color="FFFFFF"/>
            </w:tcBorders>
            <w:shd w:val="clear" w:color="auto" w:fill="000000"/>
            <w:vAlign w:val="center"/>
          </w:tcPr>
          <w:p w:rsidR="00617421" w:rsidRPr="006E7C15" w:rsidRDefault="00617421" w:rsidP="00821026">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6E7C15" w:rsidRDefault="00617421" w:rsidP="00821026"/>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rsidR="00617421" w:rsidRPr="006E7C15" w:rsidRDefault="00617421" w:rsidP="00821026"/>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6E7C15" w:rsidRDefault="00617421" w:rsidP="00821026"/>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6E7C15" w:rsidRDefault="00617421" w:rsidP="00821026"/>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6E7C15" w:rsidRDefault="00617421" w:rsidP="00821026">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6E7C15" w:rsidRDefault="00617421" w:rsidP="00821026"/>
        </w:tc>
      </w:tr>
      <w:tr w:rsidR="00617421" w:rsidRPr="006E7C15"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6E7C15" w:rsidRDefault="00617421" w:rsidP="00821026">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6E7C15" w:rsidRDefault="00617421" w:rsidP="00821026">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821026">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821026">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6E7C15" w:rsidRDefault="00617421" w:rsidP="00821026">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821026">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821026">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821026">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6E7C15" w:rsidRDefault="00617421" w:rsidP="00821026">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6E7C15" w:rsidRDefault="00617421" w:rsidP="00821026">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821026">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821026">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6E7C15" w:rsidRDefault="00617421" w:rsidP="00821026">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6E7C15" w:rsidRDefault="00617421" w:rsidP="00821026">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821026">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821026">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6E7C15" w:rsidRDefault="00617421" w:rsidP="00821026">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6E7C15" w:rsidRDefault="00617421" w:rsidP="00821026">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821026">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821026">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821026">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6E7C15" w:rsidRDefault="00617421" w:rsidP="00821026">
            <w:r w:rsidRPr="006E7C15">
              <w:t>Outstanding</w:t>
            </w:r>
          </w:p>
        </w:tc>
      </w:tr>
      <w:tr w:rsidR="00617421" w:rsidRPr="006E7C15" w:rsidTr="00E60731">
        <w:trPr>
          <w:trHeight w:val="1582"/>
        </w:trPr>
        <w:tc>
          <w:tcPr>
            <w:tcW w:w="1596" w:type="dxa"/>
            <w:vMerge w:val="restart"/>
            <w:tcBorders>
              <w:top w:val="single" w:sz="18" w:space="0" w:color="FFFFFF"/>
              <w:left w:val="single" w:sz="4" w:space="0" w:color="FFFFFF"/>
            </w:tcBorders>
            <w:shd w:val="clear" w:color="auto" w:fill="000000"/>
            <w:vAlign w:val="center"/>
          </w:tcPr>
          <w:p w:rsidR="00617421" w:rsidRPr="00AA6C7A" w:rsidRDefault="00617421" w:rsidP="00821026">
            <w:pPr>
              <w:rPr>
                <w:color w:val="FFFFFF" w:themeColor="background1"/>
              </w:rPr>
            </w:pPr>
            <w:r>
              <w:rPr>
                <w:color w:val="FFFFFF" w:themeColor="background1"/>
              </w:rPr>
              <w:t>11.</w:t>
            </w:r>
            <w:r w:rsidR="002C5B3B">
              <w:rPr>
                <w:color w:val="FFFFFF" w:themeColor="background1"/>
              </w:rPr>
              <w:t>Tr</w:t>
            </w:r>
            <w:r w:rsidRPr="00AA6C7A">
              <w:rPr>
                <w:color w:val="FFFFFF" w:themeColor="background1"/>
              </w:rPr>
              <w:t>ansparency and integrity strategy and action plan f</w:t>
            </w:r>
            <w:r w:rsidR="00FE412C">
              <w:rPr>
                <w:color w:val="FFFFFF" w:themeColor="background1"/>
              </w:rPr>
              <w:t>or</w:t>
            </w:r>
            <w:r w:rsidRPr="00AA6C7A">
              <w:rPr>
                <w:color w:val="FFFFFF" w:themeColor="background1"/>
              </w:rPr>
              <w:t xml:space="preserve"> regional development and infrastructure</w:t>
            </w:r>
          </w:p>
          <w:p w:rsidR="00617421" w:rsidRPr="006E7C15" w:rsidRDefault="00617421" w:rsidP="00821026">
            <w:pPr>
              <w:rPr>
                <w:color w:val="FFFFFF" w:themeColor="background1"/>
              </w:rPr>
            </w:pPr>
          </w:p>
        </w:tc>
        <w:tc>
          <w:tcPr>
            <w:tcW w:w="445" w:type="dxa"/>
            <w:vMerge w:val="restart"/>
            <w:tcBorders>
              <w:top w:val="single" w:sz="18" w:space="0" w:color="FFFFFF"/>
              <w:right w:val="single" w:sz="2" w:space="0" w:color="FFFFFF"/>
            </w:tcBorders>
            <w:shd w:val="clear" w:color="auto" w:fill="D6E3BC"/>
            <w:vAlign w:val="center"/>
          </w:tcPr>
          <w:p w:rsidR="00617421" w:rsidRPr="006E7C15" w:rsidRDefault="00617421" w:rsidP="00821026"/>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821026"/>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821026">
            <w:r w:rsidRPr="006E7C15">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6E7C15" w:rsidRDefault="00617421" w:rsidP="00821026"/>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821026">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textDirection w:val="btLr"/>
            <w:vAlign w:val="center"/>
          </w:tcPr>
          <w:p w:rsidR="00617421" w:rsidRPr="006E7C15" w:rsidRDefault="00617421" w:rsidP="00821026">
            <w:pPr>
              <w:jc w:val="center"/>
            </w:pPr>
          </w:p>
        </w:tc>
        <w:tc>
          <w:tcPr>
            <w:tcW w:w="498" w:type="dxa"/>
            <w:gridSpan w:val="2"/>
            <w:vMerge w:val="restart"/>
            <w:tcBorders>
              <w:top w:val="single" w:sz="18" w:space="0" w:color="FFFFFF"/>
              <w:left w:val="single" w:sz="2" w:space="0" w:color="FFFFFF"/>
              <w:right w:val="single" w:sz="18" w:space="0" w:color="FFFFFF"/>
            </w:tcBorders>
            <w:shd w:val="clear" w:color="auto" w:fill="FBD4B4"/>
            <w:textDirection w:val="btLr"/>
            <w:vAlign w:val="center"/>
          </w:tcPr>
          <w:p w:rsidR="00617421" w:rsidRPr="006E7C15" w:rsidRDefault="00617421" w:rsidP="00821026">
            <w:pPr>
              <w:jc w:val="center"/>
            </w:pPr>
          </w:p>
        </w:tc>
        <w:tc>
          <w:tcPr>
            <w:tcW w:w="498" w:type="dxa"/>
            <w:vMerge w:val="restart"/>
            <w:tcBorders>
              <w:top w:val="single" w:sz="18" w:space="0" w:color="FFFFFF"/>
              <w:left w:val="single" w:sz="2" w:space="0" w:color="FFFFFF"/>
              <w:right w:val="single" w:sz="18" w:space="0" w:color="FFFFFF"/>
            </w:tcBorders>
            <w:shd w:val="clear" w:color="auto" w:fill="FBD4B4"/>
            <w:textDirection w:val="btLr"/>
            <w:vAlign w:val="center"/>
          </w:tcPr>
          <w:p w:rsidR="00617421" w:rsidRPr="006E7C15" w:rsidRDefault="00617421" w:rsidP="00821026">
            <w:pPr>
              <w:jc w:val="center"/>
            </w:pPr>
          </w:p>
        </w:tc>
        <w:tc>
          <w:tcPr>
            <w:tcW w:w="450" w:type="dxa"/>
            <w:vMerge w:val="restart"/>
            <w:tcBorders>
              <w:top w:val="single" w:sz="18" w:space="0" w:color="FFFFFF"/>
              <w:left w:val="single" w:sz="18" w:space="0" w:color="FFFFFF"/>
              <w:right w:val="single" w:sz="2" w:space="0" w:color="FFFFFF"/>
            </w:tcBorders>
            <w:shd w:val="clear" w:color="auto" w:fill="CCC0D9"/>
            <w:textDirection w:val="btLr"/>
            <w:vAlign w:val="center"/>
          </w:tcPr>
          <w:p w:rsidR="00617421" w:rsidRPr="006E7C15" w:rsidRDefault="00617421" w:rsidP="00821026"/>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821026"/>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4A650E" w:rsidP="00821026">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6E7C15" w:rsidRDefault="00617421" w:rsidP="00821026"/>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617421" w:rsidRPr="006E7C15" w:rsidRDefault="00617421" w:rsidP="00821026"/>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821026"/>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821026"/>
        </w:tc>
        <w:tc>
          <w:tcPr>
            <w:tcW w:w="461" w:type="dxa"/>
            <w:tcBorders>
              <w:top w:val="single" w:sz="18" w:space="0" w:color="FFFFFF"/>
              <w:left w:val="single" w:sz="4" w:space="0" w:color="FFFFFF" w:themeColor="background1"/>
              <w:bottom w:val="single" w:sz="18" w:space="0" w:color="FFFFFF"/>
              <w:right w:val="single" w:sz="18" w:space="0" w:color="FFFFFF"/>
            </w:tcBorders>
            <w:shd w:val="clear" w:color="auto" w:fill="B8CCE4"/>
            <w:vAlign w:val="center"/>
          </w:tcPr>
          <w:p w:rsidR="00617421" w:rsidRPr="006E7C15" w:rsidRDefault="00617421" w:rsidP="00821026">
            <w:r w:rsidRPr="006E7C15">
              <w:rPr>
                <w:rFonts w:ascii="MS Mincho" w:eastAsia="MS Mincho" w:hAnsi="MS Mincho" w:cs="MS Mincho"/>
                <w:sz w:val="20"/>
              </w:rPr>
              <w:t>✔</w:t>
            </w:r>
          </w:p>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6E7C15" w:rsidRDefault="00617421" w:rsidP="00821026"/>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821026"/>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821026">
            <w:r w:rsidRPr="006E7C15">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821026"/>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6E7C15" w:rsidRDefault="00617421" w:rsidP="00821026"/>
        </w:tc>
      </w:tr>
      <w:tr w:rsidR="00617421" w:rsidRPr="006E7C15" w:rsidTr="00E60731">
        <w:trPr>
          <w:trHeight w:val="1581"/>
        </w:trPr>
        <w:tc>
          <w:tcPr>
            <w:tcW w:w="1596" w:type="dxa"/>
            <w:vMerge/>
            <w:tcBorders>
              <w:left w:val="single" w:sz="4" w:space="0" w:color="FFFFFF"/>
            </w:tcBorders>
            <w:shd w:val="clear" w:color="auto" w:fill="000000"/>
            <w:vAlign w:val="center"/>
          </w:tcPr>
          <w:p w:rsidR="00617421" w:rsidRDefault="00617421" w:rsidP="00821026">
            <w:pPr>
              <w:rPr>
                <w:color w:val="FFFFFF" w:themeColor="background1"/>
              </w:rPr>
            </w:pPr>
          </w:p>
        </w:tc>
        <w:tc>
          <w:tcPr>
            <w:tcW w:w="445" w:type="dxa"/>
            <w:vMerge/>
            <w:tcBorders>
              <w:right w:val="single" w:sz="2" w:space="0" w:color="FFFFFF"/>
            </w:tcBorders>
            <w:shd w:val="clear" w:color="auto" w:fill="D6E3BC"/>
            <w:vAlign w:val="center"/>
          </w:tcPr>
          <w:p w:rsidR="00617421" w:rsidRPr="006E7C15" w:rsidRDefault="00617421" w:rsidP="00821026"/>
        </w:tc>
        <w:tc>
          <w:tcPr>
            <w:tcW w:w="451" w:type="dxa"/>
            <w:vMerge/>
            <w:tcBorders>
              <w:left w:val="single" w:sz="2" w:space="0" w:color="FFFFFF"/>
              <w:right w:val="single" w:sz="2" w:space="0" w:color="FFFFFF"/>
            </w:tcBorders>
            <w:shd w:val="clear" w:color="auto" w:fill="D6E3BC"/>
            <w:vAlign w:val="center"/>
          </w:tcPr>
          <w:p w:rsidR="00617421" w:rsidRPr="006E7C15" w:rsidRDefault="00617421" w:rsidP="00821026"/>
        </w:tc>
        <w:tc>
          <w:tcPr>
            <w:tcW w:w="362" w:type="dxa"/>
            <w:vMerge/>
            <w:tcBorders>
              <w:left w:val="single" w:sz="2" w:space="0" w:color="FFFFFF"/>
              <w:right w:val="single" w:sz="2" w:space="0" w:color="FFFFFF"/>
            </w:tcBorders>
            <w:shd w:val="clear" w:color="auto" w:fill="D6E3BC"/>
            <w:vAlign w:val="center"/>
          </w:tcPr>
          <w:p w:rsidR="00617421" w:rsidRPr="006E7C15" w:rsidRDefault="00617421" w:rsidP="00821026">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rsidR="00617421" w:rsidRPr="006E7C15" w:rsidRDefault="00617421" w:rsidP="00821026"/>
        </w:tc>
        <w:tc>
          <w:tcPr>
            <w:tcW w:w="498" w:type="dxa"/>
            <w:gridSpan w:val="2"/>
            <w:vMerge/>
            <w:tcBorders>
              <w:left w:val="single" w:sz="2" w:space="0" w:color="FFFFFF"/>
              <w:right w:val="single" w:sz="18" w:space="0" w:color="FFFFFF"/>
            </w:tcBorders>
            <w:shd w:val="clear" w:color="auto" w:fill="FBD4B4"/>
            <w:vAlign w:val="center"/>
          </w:tcPr>
          <w:p w:rsidR="00617421" w:rsidRPr="006E7C15" w:rsidRDefault="00617421" w:rsidP="00821026">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textDirection w:val="btLr"/>
            <w:vAlign w:val="center"/>
          </w:tcPr>
          <w:p w:rsidR="00617421" w:rsidRPr="006E7C15" w:rsidRDefault="00617421" w:rsidP="00821026">
            <w:pPr>
              <w:jc w:val="center"/>
            </w:pPr>
          </w:p>
        </w:tc>
        <w:tc>
          <w:tcPr>
            <w:tcW w:w="498" w:type="dxa"/>
            <w:gridSpan w:val="2"/>
            <w:vMerge/>
            <w:tcBorders>
              <w:left w:val="single" w:sz="2" w:space="0" w:color="FFFFFF"/>
              <w:right w:val="single" w:sz="18" w:space="0" w:color="FFFFFF"/>
            </w:tcBorders>
            <w:shd w:val="clear" w:color="auto" w:fill="FBD4B4"/>
            <w:textDirection w:val="btLr"/>
            <w:vAlign w:val="center"/>
          </w:tcPr>
          <w:p w:rsidR="00617421" w:rsidRPr="006E7C15" w:rsidRDefault="00617421" w:rsidP="00821026">
            <w:pPr>
              <w:jc w:val="center"/>
            </w:pPr>
          </w:p>
        </w:tc>
        <w:tc>
          <w:tcPr>
            <w:tcW w:w="498" w:type="dxa"/>
            <w:vMerge/>
            <w:tcBorders>
              <w:left w:val="single" w:sz="2" w:space="0" w:color="FFFFFF"/>
              <w:right w:val="single" w:sz="18" w:space="0" w:color="FFFFFF"/>
            </w:tcBorders>
            <w:shd w:val="clear" w:color="auto" w:fill="FBD4B4"/>
            <w:textDirection w:val="btLr"/>
            <w:vAlign w:val="center"/>
          </w:tcPr>
          <w:p w:rsidR="00617421" w:rsidRPr="006E7C15" w:rsidRDefault="00617421" w:rsidP="00821026">
            <w:pPr>
              <w:jc w:val="center"/>
            </w:pPr>
          </w:p>
        </w:tc>
        <w:tc>
          <w:tcPr>
            <w:tcW w:w="450" w:type="dxa"/>
            <w:vMerge/>
            <w:tcBorders>
              <w:left w:val="single" w:sz="18" w:space="0" w:color="FFFFFF"/>
              <w:right w:val="single" w:sz="2" w:space="0" w:color="FFFFFF"/>
            </w:tcBorders>
            <w:shd w:val="clear" w:color="auto" w:fill="CCC0D9"/>
            <w:textDirection w:val="btLr"/>
            <w:vAlign w:val="center"/>
          </w:tcPr>
          <w:p w:rsidR="00617421" w:rsidRPr="006E7C15" w:rsidRDefault="00617421" w:rsidP="00821026"/>
        </w:tc>
        <w:tc>
          <w:tcPr>
            <w:tcW w:w="360" w:type="dxa"/>
            <w:vMerge/>
            <w:tcBorders>
              <w:left w:val="single" w:sz="2" w:space="0" w:color="FFFFFF"/>
              <w:right w:val="single" w:sz="2" w:space="0" w:color="FFFFFF"/>
            </w:tcBorders>
            <w:shd w:val="clear" w:color="auto" w:fill="CCC0D9"/>
            <w:vAlign w:val="center"/>
          </w:tcPr>
          <w:p w:rsidR="00617421" w:rsidRPr="006E7C15" w:rsidRDefault="00617421" w:rsidP="00821026">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rsidR="00617421" w:rsidRPr="006E7C15" w:rsidRDefault="00617421" w:rsidP="00821026"/>
        </w:tc>
        <w:tc>
          <w:tcPr>
            <w:tcW w:w="360" w:type="dxa"/>
            <w:vMerge/>
            <w:tcBorders>
              <w:left w:val="single" w:sz="2" w:space="0" w:color="FFFFFF"/>
              <w:right w:val="single" w:sz="18" w:space="0" w:color="FFFFFF"/>
            </w:tcBorders>
            <w:shd w:val="clear" w:color="auto" w:fill="CCC0D9"/>
            <w:vAlign w:val="center"/>
          </w:tcPr>
          <w:p w:rsidR="00617421" w:rsidRPr="006E7C15" w:rsidRDefault="00617421" w:rsidP="00821026"/>
        </w:tc>
        <w:tc>
          <w:tcPr>
            <w:tcW w:w="540" w:type="dxa"/>
            <w:vMerge/>
            <w:tcBorders>
              <w:left w:val="single" w:sz="18" w:space="0" w:color="FFFFFF"/>
              <w:right w:val="single" w:sz="4" w:space="0" w:color="FFFFFF" w:themeColor="background1"/>
            </w:tcBorders>
            <w:shd w:val="clear" w:color="auto" w:fill="B8CCE4"/>
            <w:vAlign w:val="center"/>
          </w:tcPr>
          <w:p w:rsidR="00617421" w:rsidRPr="006E7C15" w:rsidRDefault="00617421" w:rsidP="00821026"/>
        </w:tc>
        <w:tc>
          <w:tcPr>
            <w:tcW w:w="450" w:type="dxa"/>
            <w:vMerge/>
            <w:tcBorders>
              <w:left w:val="single" w:sz="4" w:space="0" w:color="FFFFFF" w:themeColor="background1"/>
              <w:right w:val="single" w:sz="4" w:space="0" w:color="FFFFFF" w:themeColor="background1"/>
            </w:tcBorders>
            <w:shd w:val="clear" w:color="auto" w:fill="B8CCE4"/>
            <w:vAlign w:val="center"/>
          </w:tcPr>
          <w:p w:rsidR="00617421" w:rsidRPr="006E7C15" w:rsidRDefault="00617421" w:rsidP="00821026"/>
        </w:tc>
        <w:tc>
          <w:tcPr>
            <w:tcW w:w="630" w:type="dxa"/>
            <w:vMerge/>
            <w:tcBorders>
              <w:left w:val="single" w:sz="4" w:space="0" w:color="FFFFFF" w:themeColor="background1"/>
              <w:right w:val="single" w:sz="4" w:space="0" w:color="FFFFFF" w:themeColor="background1"/>
            </w:tcBorders>
            <w:shd w:val="clear" w:color="auto" w:fill="B8CCE4"/>
            <w:vAlign w:val="center"/>
          </w:tcPr>
          <w:p w:rsidR="00617421" w:rsidRPr="006E7C15" w:rsidRDefault="00617421" w:rsidP="00821026"/>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6E7C15" w:rsidRDefault="00617421" w:rsidP="00821026">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rsidR="00617421" w:rsidRPr="006E7C15" w:rsidRDefault="00617421" w:rsidP="00821026"/>
        </w:tc>
        <w:tc>
          <w:tcPr>
            <w:tcW w:w="540" w:type="dxa"/>
            <w:vMerge/>
            <w:tcBorders>
              <w:left w:val="single" w:sz="2" w:space="0" w:color="FFFFFF"/>
              <w:right w:val="single" w:sz="2" w:space="0" w:color="FFFFFF"/>
            </w:tcBorders>
            <w:shd w:val="clear" w:color="auto" w:fill="D99594"/>
            <w:vAlign w:val="center"/>
          </w:tcPr>
          <w:p w:rsidR="00617421" w:rsidRPr="006E7C15" w:rsidRDefault="00617421" w:rsidP="00821026"/>
        </w:tc>
        <w:tc>
          <w:tcPr>
            <w:tcW w:w="476" w:type="dxa"/>
            <w:vMerge/>
            <w:tcBorders>
              <w:left w:val="single" w:sz="2" w:space="0" w:color="FFFFFF"/>
              <w:right w:val="single" w:sz="2" w:space="0" w:color="FFFFFF"/>
            </w:tcBorders>
            <w:shd w:val="clear" w:color="auto" w:fill="D99594"/>
            <w:vAlign w:val="center"/>
          </w:tcPr>
          <w:p w:rsidR="00617421" w:rsidRPr="006E7C15" w:rsidRDefault="00617421" w:rsidP="00821026">
            <w:pPr>
              <w:rPr>
                <w:rFonts w:ascii="MS Mincho" w:eastAsia="MS Mincho" w:hAnsi="MS Mincho" w:cs="MS Mincho"/>
                <w:sz w:val="20"/>
              </w:rPr>
            </w:pPr>
          </w:p>
        </w:tc>
        <w:tc>
          <w:tcPr>
            <w:tcW w:w="342" w:type="dxa"/>
            <w:vMerge/>
            <w:tcBorders>
              <w:left w:val="single" w:sz="2" w:space="0" w:color="FFFFFF"/>
              <w:right w:val="single" w:sz="2" w:space="0" w:color="FFFFFF"/>
            </w:tcBorders>
            <w:shd w:val="clear" w:color="auto" w:fill="D99594"/>
            <w:vAlign w:val="center"/>
          </w:tcPr>
          <w:p w:rsidR="00617421" w:rsidRPr="006E7C15" w:rsidRDefault="00617421" w:rsidP="00821026"/>
        </w:tc>
        <w:tc>
          <w:tcPr>
            <w:tcW w:w="343" w:type="dxa"/>
            <w:vMerge/>
            <w:tcBorders>
              <w:left w:val="single" w:sz="2" w:space="0" w:color="FFFFFF"/>
              <w:right w:val="single" w:sz="18" w:space="0" w:color="FFFFFF"/>
            </w:tcBorders>
            <w:shd w:val="clear" w:color="auto" w:fill="D99594"/>
          </w:tcPr>
          <w:p w:rsidR="00617421" w:rsidRPr="006E7C15" w:rsidRDefault="00617421" w:rsidP="00821026"/>
        </w:tc>
      </w:tr>
    </w:tbl>
    <w:p w:rsidR="00617421" w:rsidRPr="004B1C12" w:rsidRDefault="00617421" w:rsidP="00821026">
      <w:pPr>
        <w:pStyle w:val="Normalrglronly"/>
        <w:tabs>
          <w:tab w:val="center" w:pos="4536"/>
        </w:tabs>
      </w:pPr>
    </w:p>
    <w:p w:rsidR="00617421" w:rsidRPr="0010229D" w:rsidRDefault="00617421" w:rsidP="00FE5928">
      <w:pPr>
        <w:pStyle w:val="Heading3"/>
      </w:pPr>
      <w:bookmarkStart w:id="42" w:name="_Toc525759429"/>
      <w:r w:rsidRPr="0010229D">
        <w:lastRenderedPageBreak/>
        <w:t xml:space="preserve">Commitment </w:t>
      </w:r>
      <w:r w:rsidRPr="004B1C12">
        <w:t>A</w:t>
      </w:r>
      <w:r w:rsidRPr="0010229D">
        <w:t>im:</w:t>
      </w:r>
      <w:bookmarkEnd w:id="42"/>
    </w:p>
    <w:p w:rsidR="00617421" w:rsidRPr="002B6F16" w:rsidRDefault="00617421" w:rsidP="00821026">
      <w:r>
        <w:t xml:space="preserve">The </w:t>
      </w:r>
      <w:r w:rsidR="004A650E">
        <w:t>Ministry of Regional Development and Infrastructure (</w:t>
      </w:r>
      <w:r>
        <w:t>MRDI</w:t>
      </w:r>
      <w:r w:rsidR="004A650E">
        <w:t>)</w:t>
      </w:r>
      <w:r>
        <w:t xml:space="preserve"> </w:t>
      </w:r>
      <w:r w:rsidR="004A650E">
        <w:t xml:space="preserve">made </w:t>
      </w:r>
      <w:r>
        <w:t xml:space="preserve">a commitment to approve </w:t>
      </w:r>
      <w:r w:rsidR="00E35E6D">
        <w:t xml:space="preserve">a </w:t>
      </w:r>
      <w:r>
        <w:t>Transparency and Integrity Strategy and Action Plan with the overall objective to ensure the existence of a guiding document for transparency and integrity efforts in the Ministry and its subordinate units.</w:t>
      </w:r>
      <w:r>
        <w:rPr>
          <w:rStyle w:val="EndnoteReference"/>
        </w:rPr>
        <w:endnoteReference w:id="40"/>
      </w:r>
      <w:r>
        <w:t xml:space="preserve"> </w:t>
      </w:r>
    </w:p>
    <w:p w:rsidR="00617421" w:rsidRPr="004B1C12" w:rsidRDefault="00617421" w:rsidP="00821026">
      <w:pPr>
        <w:rPr>
          <w:i/>
          <w:color w:val="4F81BD" w:themeColor="accent1"/>
        </w:rPr>
      </w:pPr>
    </w:p>
    <w:p w:rsidR="00617421" w:rsidRPr="0010229D" w:rsidRDefault="00617421" w:rsidP="00FE5928">
      <w:pPr>
        <w:pStyle w:val="Heading3"/>
      </w:pPr>
      <w:bookmarkStart w:id="43" w:name="_Toc525759430"/>
      <w:r w:rsidRPr="0010229D">
        <w:t>Status</w:t>
      </w:r>
      <w:bookmarkEnd w:id="43"/>
    </w:p>
    <w:p w:rsidR="00617421" w:rsidRDefault="00617421" w:rsidP="00821026">
      <w:pPr>
        <w:pStyle w:val="Normalrglronly"/>
        <w:rPr>
          <w:b/>
        </w:rPr>
      </w:pPr>
      <w:r w:rsidRPr="004B1C12">
        <w:rPr>
          <w:b/>
        </w:rPr>
        <w:t xml:space="preserve">Midterm: </w:t>
      </w:r>
      <w:r w:rsidRPr="004B1C12">
        <w:rPr>
          <w:b/>
          <w:color w:val="000000" w:themeColor="text1"/>
        </w:rPr>
        <w:t>Complete</w:t>
      </w:r>
    </w:p>
    <w:p w:rsidR="00617421" w:rsidRDefault="00617421" w:rsidP="00821026">
      <w:pPr>
        <w:pStyle w:val="Normalrglronly"/>
        <w:rPr>
          <w:rFonts w:eastAsia="Cambria"/>
          <w:bCs/>
        </w:rPr>
      </w:pPr>
      <w:r w:rsidRPr="003A4928">
        <w:rPr>
          <w:rFonts w:eastAsia="Cambria"/>
          <w:bCs/>
        </w:rPr>
        <w:t xml:space="preserve">The commitment was fully implemented by the midterm. The </w:t>
      </w:r>
      <w:r w:rsidR="004A650E">
        <w:rPr>
          <w:rFonts w:eastAsia="Cambria"/>
          <w:bCs/>
        </w:rPr>
        <w:t>MRDI</w:t>
      </w:r>
      <w:r w:rsidRPr="003A4928">
        <w:rPr>
          <w:rFonts w:eastAsia="Cambria"/>
          <w:bCs/>
        </w:rPr>
        <w:t xml:space="preserve"> adopted </w:t>
      </w:r>
      <w:r w:rsidR="00DC6EF4">
        <w:rPr>
          <w:rFonts w:eastAsia="Cambria"/>
          <w:bCs/>
        </w:rPr>
        <w:t xml:space="preserve">the </w:t>
      </w:r>
      <w:r w:rsidRPr="003A4928">
        <w:rPr>
          <w:rFonts w:eastAsia="Cambria"/>
          <w:bCs/>
        </w:rPr>
        <w:t>Transparency and Integrity</w:t>
      </w:r>
      <w:r>
        <w:t xml:space="preserve"> Strategy and Action Plan in April 2017, which includes four thematic areas: </w:t>
      </w:r>
      <w:r w:rsidRPr="00326ED0">
        <w:rPr>
          <w:rFonts w:eastAsia="Cambria"/>
          <w:bCs/>
        </w:rPr>
        <w:t>1) increasing transparency and civic participation, 2) strengthening ethics and integrity standards, 3) improving human resource management, and 4) enhancing planning, monitoring, and internal financial control system</w:t>
      </w:r>
      <w:r>
        <w:rPr>
          <w:rFonts w:eastAsia="Cambria"/>
          <w:bCs/>
        </w:rPr>
        <w:t>. The Action Plan entails activities such as proactive publication of information, enhancing whistleblower protection, and electronic module of collecting citizen’s input on political documents. CSOs were consulted in the drafting process and asked for their feedback</w:t>
      </w:r>
      <w:r w:rsidR="00E85ACD">
        <w:rPr>
          <w:rFonts w:eastAsia="Cambria"/>
          <w:bCs/>
        </w:rPr>
        <w:t xml:space="preserve">. However, some of the participants claim that key recommendations were not taken into account, such as </w:t>
      </w:r>
      <w:r>
        <w:rPr>
          <w:rFonts w:eastAsia="Cambria"/>
          <w:bCs/>
        </w:rPr>
        <w:t xml:space="preserve">the importance </w:t>
      </w:r>
      <w:r w:rsidR="00E85ACD">
        <w:rPr>
          <w:rFonts w:eastAsia="Cambria"/>
          <w:bCs/>
        </w:rPr>
        <w:t>of  incorporating</w:t>
      </w:r>
      <w:r>
        <w:rPr>
          <w:rFonts w:eastAsia="Cambria"/>
          <w:bCs/>
        </w:rPr>
        <w:t xml:space="preserve"> procurement</w:t>
      </w:r>
      <w:r w:rsidR="00E85ACD">
        <w:rPr>
          <w:rFonts w:eastAsia="Cambria"/>
          <w:bCs/>
        </w:rPr>
        <w:t xml:space="preserve"> into the document</w:t>
      </w:r>
      <w:r>
        <w:rPr>
          <w:rFonts w:eastAsia="Cambria"/>
          <w:bCs/>
        </w:rPr>
        <w:t xml:space="preserve">, which is an important area based on the Ministry’s line of work. </w:t>
      </w:r>
    </w:p>
    <w:p w:rsidR="00617421" w:rsidRPr="00EA459F" w:rsidRDefault="00617421" w:rsidP="00821026">
      <w:pPr>
        <w:pStyle w:val="Normalrglronly"/>
        <w:rPr>
          <w:b/>
        </w:rPr>
      </w:pPr>
      <w:r>
        <w:rPr>
          <w:color w:val="auto"/>
        </w:rPr>
        <w:t xml:space="preserve">By the midterm, the Ministry started implementing some activities under the Action Plan. Information on construction projects under sub-entities of the ministries were published on </w:t>
      </w:r>
      <w:r>
        <w:rPr>
          <w:i/>
          <w:color w:val="auto"/>
        </w:rPr>
        <w:t>www.</w:t>
      </w:r>
      <w:r w:rsidRPr="00C06327">
        <w:rPr>
          <w:i/>
          <w:color w:val="auto"/>
        </w:rPr>
        <w:t>build.gov.ge.</w:t>
      </w:r>
      <w:r>
        <w:rPr>
          <w:color w:val="auto"/>
        </w:rPr>
        <w:t xml:space="preserve"> In terms of whistleblower protection, the website of the Ministry featured a link to the whistleblower form, which redirects the user to </w:t>
      </w:r>
      <w:hyperlink r:id="rId21" w:history="1">
        <w:r w:rsidRPr="000909A1">
          <w:rPr>
            <w:rStyle w:val="Hyperlink"/>
            <w:i/>
          </w:rPr>
          <w:t>www.mkhileba.gov.ge</w:t>
        </w:r>
      </w:hyperlink>
      <w:r>
        <w:rPr>
          <w:rFonts w:ascii="Sylfaen" w:hAnsi="Sylfaen"/>
          <w:color w:val="auto"/>
          <w:lang w:val="ka-GE"/>
        </w:rPr>
        <w:t xml:space="preserve">, </w:t>
      </w:r>
      <w:r>
        <w:rPr>
          <w:color w:val="auto"/>
        </w:rPr>
        <w:t xml:space="preserve">whistleblower page of the Civil Service Bureau responsible for such claims. While some of the trainings of the Ministry employees envisioned by the commitment were underway by the midterm, more capacity-building activities were planned.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sidRPr="00796370">
        <w:rPr>
          <w:rStyle w:val="EndnoteReference"/>
          <w:color w:val="auto"/>
        </w:rPr>
        <w:t xml:space="preserve"> </w:t>
      </w:r>
      <w:r>
        <w:rPr>
          <w:rStyle w:val="EndnoteReference"/>
          <w:color w:val="auto"/>
        </w:rPr>
        <w:endnoteReference w:id="41"/>
      </w:r>
      <w:r w:rsidRPr="0010229D">
        <w:rPr>
          <w:i/>
          <w:color w:val="4F81BD" w:themeColor="accent1"/>
        </w:rPr>
        <w:t> </w:t>
      </w:r>
    </w:p>
    <w:p w:rsidR="00617421" w:rsidRPr="004B1C12" w:rsidRDefault="00617421" w:rsidP="00821026">
      <w:pPr>
        <w:pStyle w:val="Normalrglronly"/>
        <w:rPr>
          <w:b/>
          <w:color w:val="000000" w:themeColor="text1"/>
        </w:rPr>
      </w:pPr>
      <w:r w:rsidRPr="004B1C12">
        <w:rPr>
          <w:b/>
        </w:rPr>
        <w:t>End of term</w:t>
      </w:r>
      <w:r>
        <w:rPr>
          <w:b/>
        </w:rPr>
        <w:t xml:space="preserve">: </w:t>
      </w:r>
      <w:r w:rsidRPr="004B1C12">
        <w:rPr>
          <w:b/>
          <w:color w:val="000000" w:themeColor="text1"/>
        </w:rPr>
        <w:t>Complete</w:t>
      </w:r>
    </w:p>
    <w:p w:rsidR="00617421" w:rsidRDefault="00617421" w:rsidP="00821026">
      <w:pPr>
        <w:pStyle w:val="Normalrglronly"/>
        <w:rPr>
          <w:color w:val="auto"/>
        </w:rPr>
      </w:pPr>
      <w:bookmarkStart w:id="44" w:name="_Toc525759431"/>
      <w:r w:rsidRPr="000B2934">
        <w:rPr>
          <w:color w:val="auto"/>
        </w:rPr>
        <w:t xml:space="preserve">The commitment was fully implemented by the midterm. </w:t>
      </w:r>
      <w:r>
        <w:rPr>
          <w:color w:val="auto"/>
        </w:rPr>
        <w:t>The Ministry continue</w:t>
      </w:r>
      <w:r w:rsidR="00DC6EF4">
        <w:rPr>
          <w:color w:val="auto"/>
        </w:rPr>
        <w:t>d</w:t>
      </w:r>
      <w:r>
        <w:rPr>
          <w:color w:val="auto"/>
        </w:rPr>
        <w:t xml:space="preserve"> to publish information on projects </w:t>
      </w:r>
      <w:r w:rsidRPr="000A59B0">
        <w:rPr>
          <w:i/>
          <w:color w:val="auto"/>
        </w:rPr>
        <w:t>on build.gov.ge</w:t>
      </w:r>
      <w:r>
        <w:rPr>
          <w:color w:val="auto"/>
        </w:rPr>
        <w:t>.</w:t>
      </w:r>
      <w:r>
        <w:rPr>
          <w:rStyle w:val="EndnoteReference"/>
          <w:color w:val="auto"/>
        </w:rPr>
        <w:endnoteReference w:id="42"/>
      </w:r>
      <w:r>
        <w:rPr>
          <w:color w:val="auto"/>
        </w:rPr>
        <w:t xml:space="preserve"> The Ministry continue</w:t>
      </w:r>
      <w:r w:rsidR="00DC6EF4">
        <w:rPr>
          <w:color w:val="auto"/>
        </w:rPr>
        <w:t>d</w:t>
      </w:r>
      <w:r>
        <w:rPr>
          <w:color w:val="auto"/>
        </w:rPr>
        <w:t xml:space="preserve"> training of employees on issues such as procedure for disclosing public information, as well as on employee evaluation, project management, and more.</w:t>
      </w:r>
      <w:r>
        <w:rPr>
          <w:rStyle w:val="EndnoteReference"/>
          <w:color w:val="auto"/>
        </w:rPr>
        <w:endnoteReference w:id="43"/>
      </w:r>
      <w:r>
        <w:rPr>
          <w:color w:val="auto"/>
        </w:rPr>
        <w:t xml:space="preserve">  </w:t>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44"/>
    </w:p>
    <w:p w:rsidR="00617421" w:rsidRPr="00964A53" w:rsidRDefault="00617421" w:rsidP="00821026">
      <w:pPr>
        <w:rPr>
          <w:b/>
          <w:color w:val="000000" w:themeColor="text1"/>
        </w:rPr>
      </w:pPr>
      <w:r w:rsidRPr="004B1C12">
        <w:rPr>
          <w:b/>
          <w:color w:val="000000" w:themeColor="text1"/>
        </w:rPr>
        <w:t xml:space="preserve">Access to Information: </w:t>
      </w:r>
      <w:r w:rsidRPr="00964A53">
        <w:rPr>
          <w:b/>
          <w:color w:val="000000" w:themeColor="text1"/>
        </w:rPr>
        <w:t>Marginal</w:t>
      </w:r>
    </w:p>
    <w:p w:rsidR="008E7EB2" w:rsidRPr="00FE5928" w:rsidRDefault="00617421" w:rsidP="008E7EB2">
      <w:pPr>
        <w:pStyle w:val="CommentText"/>
        <w:rPr>
          <w:sz w:val="22"/>
          <w:szCs w:val="22"/>
        </w:rPr>
      </w:pPr>
      <w:r w:rsidRPr="00FE5928">
        <w:rPr>
          <w:sz w:val="22"/>
          <w:szCs w:val="22"/>
        </w:rPr>
        <w:t xml:space="preserve">The adoption of the sectoral Transparency and Integrity Strategy and Action Plan was a </w:t>
      </w:r>
      <w:r w:rsidR="000D4935" w:rsidRPr="00FE5928">
        <w:rPr>
          <w:sz w:val="22"/>
          <w:szCs w:val="22"/>
        </w:rPr>
        <w:t>positive</w:t>
      </w:r>
      <w:r w:rsidRPr="00FE5928">
        <w:rPr>
          <w:sz w:val="22"/>
          <w:szCs w:val="22"/>
        </w:rPr>
        <w:t xml:space="preserve"> step </w:t>
      </w:r>
      <w:r w:rsidR="00E85ACD" w:rsidRPr="00FE5928">
        <w:rPr>
          <w:sz w:val="22"/>
          <w:szCs w:val="22"/>
        </w:rPr>
        <w:t>as it created the first sectoral anti-corruption</w:t>
      </w:r>
      <w:r w:rsidRPr="00FE5928">
        <w:rPr>
          <w:sz w:val="22"/>
          <w:szCs w:val="22"/>
        </w:rPr>
        <w:t xml:space="preserve"> guiding document in one of the most risk-prone areas in the country</w:t>
      </w:r>
      <w:r w:rsidR="00E85ACD" w:rsidRPr="00FE5928">
        <w:rPr>
          <w:sz w:val="22"/>
          <w:szCs w:val="22"/>
        </w:rPr>
        <w:t>, and underlined MRDI-s readiness to implement anti-corruption measures</w:t>
      </w:r>
      <w:r w:rsidRPr="00FE5928">
        <w:rPr>
          <w:sz w:val="22"/>
          <w:szCs w:val="22"/>
        </w:rPr>
        <w:t xml:space="preserve">. </w:t>
      </w:r>
      <w:r w:rsidR="00700365" w:rsidRPr="00FE5928">
        <w:rPr>
          <w:sz w:val="22"/>
          <w:szCs w:val="22"/>
        </w:rPr>
        <w:t xml:space="preserve">The site </w:t>
      </w:r>
      <w:r w:rsidRPr="00FE5928">
        <w:rPr>
          <w:i/>
          <w:sz w:val="22"/>
          <w:szCs w:val="22"/>
        </w:rPr>
        <w:t>Build.gov.ge</w:t>
      </w:r>
      <w:r w:rsidR="00700365" w:rsidRPr="00FE5928">
        <w:rPr>
          <w:i/>
          <w:sz w:val="22"/>
          <w:szCs w:val="22"/>
        </w:rPr>
        <w:t>,</w:t>
      </w:r>
      <w:r w:rsidRPr="00FE5928">
        <w:rPr>
          <w:sz w:val="22"/>
          <w:szCs w:val="22"/>
        </w:rPr>
        <w:t xml:space="preserve"> which was launched in its current form in the first quarter of 2017, publishes basic information on projects implemented by subordinate entities of the Ministry.</w:t>
      </w:r>
      <w:r w:rsidR="008E7EB2" w:rsidRPr="00FE5928">
        <w:rPr>
          <w:sz w:val="22"/>
          <w:szCs w:val="22"/>
        </w:rPr>
        <w:t xml:space="preserve"> According to the Ministry, this information was public before launching </w:t>
      </w:r>
      <w:r w:rsidR="008E7EB2" w:rsidRPr="00FE5928">
        <w:rPr>
          <w:i/>
          <w:sz w:val="22"/>
          <w:szCs w:val="22"/>
        </w:rPr>
        <w:t>build.gov.ge</w:t>
      </w:r>
      <w:r w:rsidR="008E7EB2" w:rsidRPr="00FE5928">
        <w:rPr>
          <w:sz w:val="22"/>
          <w:szCs w:val="22"/>
        </w:rPr>
        <w:t>, but was scattered across different Ministry websites. The new platform assembled information on projects on a single website and made it easier to find.</w:t>
      </w:r>
      <w:r w:rsidRPr="00FE5928">
        <w:rPr>
          <w:rStyle w:val="EndnoteReference"/>
          <w:color w:val="auto"/>
          <w:sz w:val="22"/>
          <w:szCs w:val="22"/>
        </w:rPr>
        <w:endnoteReference w:id="44"/>
      </w:r>
      <w:r w:rsidRPr="00FE5928">
        <w:rPr>
          <w:rStyle w:val="EndnoteReference"/>
          <w:color w:val="auto"/>
          <w:sz w:val="22"/>
          <w:szCs w:val="22"/>
        </w:rPr>
        <w:t xml:space="preserve"> </w:t>
      </w:r>
    </w:p>
    <w:p w:rsidR="008E7EB2" w:rsidRDefault="008E7EB2" w:rsidP="00821026"/>
    <w:p w:rsidR="00617421" w:rsidRDefault="00617421" w:rsidP="00821026">
      <w:r w:rsidRPr="00964A53">
        <w:t xml:space="preserve">While </w:t>
      </w:r>
      <w:r w:rsidRPr="00964A53">
        <w:rPr>
          <w:i/>
        </w:rPr>
        <w:t>Build.gov.ge</w:t>
      </w:r>
      <w:r>
        <w:t xml:space="preserve"> provides information on projects under all subordinate units divided by their status (planned, current, implemented) and allows the citizen to look up any project in the </w:t>
      </w:r>
      <w:r>
        <w:lastRenderedPageBreak/>
        <w:t xml:space="preserve">period of 2017-2020, information on each project is limited, namely, description includes: name, location, period of implementation, implementing entity, and the category (e.g.: road reparation, drainage system, etc.). The website also provides a link to the procurement website, which gives more comprehensive information regarding the tender, price, and other accompanying documents such as project plans, and more. However, information on procurement website existed prior to </w:t>
      </w:r>
      <w:r w:rsidRPr="00680205">
        <w:rPr>
          <w:i/>
        </w:rPr>
        <w:t>Build.gov.ge</w:t>
      </w:r>
      <w:r>
        <w:t xml:space="preserve">, which simplifies finding a specific project implemented by sub-Ministry bodies. The link to </w:t>
      </w:r>
      <w:r w:rsidRPr="00EA459F">
        <w:rPr>
          <w:i/>
        </w:rPr>
        <w:t>Build.gov.ge</w:t>
      </w:r>
      <w:r>
        <w:t xml:space="preserve">, along with a link to whistleblower page of the Civil Service Bureau was added to the websites of all sub-ministry units. </w:t>
      </w:r>
    </w:p>
    <w:p w:rsidR="00617421" w:rsidRDefault="00617421" w:rsidP="00821026"/>
    <w:p w:rsidR="00617421" w:rsidRPr="00E85ACD" w:rsidRDefault="00617421" w:rsidP="00821026">
      <w:pPr>
        <w:rPr>
          <w:rFonts w:ascii="Sylfaen" w:eastAsiaTheme="majorEastAsia" w:hAnsi="Sylfaen"/>
          <w:b/>
          <w:bCs/>
          <w:color w:val="1F497D" w:themeColor="text2"/>
          <w:lang w:val="ka-GE"/>
        </w:rPr>
      </w:pPr>
      <w:r>
        <w:t xml:space="preserve">USAID project Georgia Good Governance Initiative (GGI), which assisted MRDI in developing the strategy and the action plan comment on the importance of co-creation process, which featured both the adoption and the implementation of the strategy. In future, GGI plans to collaborate with MRDI on improvement of the </w:t>
      </w:r>
      <w:r w:rsidRPr="006C6D33">
        <w:rPr>
          <w:i/>
        </w:rPr>
        <w:t>Build.gov.ge</w:t>
      </w:r>
      <w:r>
        <w:t xml:space="preserve"> to increase its usability.</w:t>
      </w:r>
      <w:r>
        <w:rPr>
          <w:rStyle w:val="EndnoteReference"/>
        </w:rPr>
        <w:endnoteReference w:id="45"/>
      </w:r>
      <w:r>
        <w:t xml:space="preserve"> </w:t>
      </w:r>
    </w:p>
    <w:p w:rsidR="00617421" w:rsidRDefault="00617421" w:rsidP="00821026">
      <w:pPr>
        <w:rPr>
          <w:rFonts w:eastAsiaTheme="majorEastAsia"/>
          <w:b/>
          <w:bCs/>
          <w:color w:val="1F497D" w:themeColor="text2"/>
          <w:lang w:val="en-GB"/>
        </w:rPr>
      </w:pPr>
    </w:p>
    <w:p w:rsidR="00617421" w:rsidRPr="00EA459F" w:rsidRDefault="00617421" w:rsidP="00FE5928">
      <w:pPr>
        <w:pStyle w:val="Heading3"/>
      </w:pPr>
      <w:r w:rsidRPr="0010229D">
        <w:t xml:space="preserve">Carried </w:t>
      </w:r>
      <w:r w:rsidRPr="004B1C12">
        <w:t>F</w:t>
      </w:r>
      <w:r w:rsidRPr="0010229D">
        <w:t>orward?</w:t>
      </w:r>
    </w:p>
    <w:p w:rsidR="00617421" w:rsidRPr="00505C1E" w:rsidRDefault="00A43AA9" w:rsidP="00DF2AB3">
      <w:pPr>
        <w:pStyle w:val="Normalrglronly"/>
        <w:rPr>
          <w:color w:val="auto"/>
        </w:rPr>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005313">
        <w:rPr>
          <w:color w:val="000000" w:themeColor="text1"/>
        </w:rPr>
        <w:t>19</w:t>
      </w:r>
      <w:r>
        <w:rPr>
          <w:color w:val="000000" w:themeColor="text1"/>
        </w:rPr>
        <w:t xml:space="preserve">. </w:t>
      </w:r>
      <w:r w:rsidR="00617421" w:rsidRPr="004A1F5E">
        <w:rPr>
          <w:color w:val="auto"/>
        </w:rPr>
        <w:t xml:space="preserve">In order to </w:t>
      </w:r>
      <w:r>
        <w:rPr>
          <w:color w:val="auto"/>
        </w:rPr>
        <w:t>continue progress in this area</w:t>
      </w:r>
      <w:r w:rsidR="00617421" w:rsidRPr="004A1F5E">
        <w:rPr>
          <w:color w:val="auto"/>
        </w:rPr>
        <w:t xml:space="preserve">, MRDI </w:t>
      </w:r>
      <w:r w:rsidR="000D4935">
        <w:rPr>
          <w:color w:val="auto"/>
        </w:rPr>
        <w:t>would need to e</w:t>
      </w:r>
      <w:r w:rsidR="00617421" w:rsidRPr="004A1F5E">
        <w:rPr>
          <w:color w:val="auto"/>
        </w:rPr>
        <w:t xml:space="preserve">nsure </w:t>
      </w:r>
      <w:r w:rsidR="000D4935">
        <w:rPr>
          <w:color w:val="auto"/>
        </w:rPr>
        <w:t xml:space="preserve">the full implementation of </w:t>
      </w:r>
      <w:r w:rsidR="00617421" w:rsidRPr="004A1F5E">
        <w:rPr>
          <w:color w:val="auto"/>
        </w:rPr>
        <w:t>the Transparency and Integrity Action Plan</w:t>
      </w:r>
      <w:r w:rsidR="000D4935">
        <w:rPr>
          <w:color w:val="auto"/>
        </w:rPr>
        <w:t>. In addition, to i</w:t>
      </w:r>
      <w:r w:rsidR="00617421" w:rsidRPr="004A1F5E">
        <w:rPr>
          <w:color w:val="auto"/>
        </w:rPr>
        <w:t xml:space="preserve">ncrease transparency of simplified procurement and electronic tenders, </w:t>
      </w:r>
      <w:r w:rsidR="000D4935">
        <w:rPr>
          <w:color w:val="auto"/>
        </w:rPr>
        <w:t>MRDI could</w:t>
      </w:r>
      <w:r w:rsidR="000D4935" w:rsidRPr="004A1F5E">
        <w:rPr>
          <w:color w:val="auto"/>
        </w:rPr>
        <w:t xml:space="preserve"> </w:t>
      </w:r>
      <w:r w:rsidR="00617421" w:rsidRPr="004A1F5E">
        <w:rPr>
          <w:color w:val="auto"/>
        </w:rPr>
        <w:t>disclos</w:t>
      </w:r>
      <w:r w:rsidR="000D4935">
        <w:rPr>
          <w:color w:val="auto"/>
        </w:rPr>
        <w:t>e</w:t>
      </w:r>
      <w:r w:rsidR="00617421" w:rsidRPr="004A1F5E">
        <w:rPr>
          <w:color w:val="auto"/>
        </w:rPr>
        <w:t xml:space="preserve"> information on its deals in user-friendly format, along with detailed decisions and </w:t>
      </w:r>
      <w:r w:rsidR="00617421">
        <w:rPr>
          <w:color w:val="auto"/>
        </w:rPr>
        <w:t xml:space="preserve">accompanying </w:t>
      </w:r>
      <w:r w:rsidR="00617421" w:rsidRPr="004A1F5E">
        <w:rPr>
          <w:color w:val="auto"/>
        </w:rPr>
        <w:t>statistic</w:t>
      </w:r>
      <w:r w:rsidR="00617421">
        <w:rPr>
          <w:color w:val="auto"/>
        </w:rPr>
        <w:t>al data</w:t>
      </w:r>
      <w:r w:rsidR="00617421" w:rsidRPr="004A1F5E">
        <w:rPr>
          <w:color w:val="auto"/>
        </w:rPr>
        <w:t xml:space="preserve">. </w:t>
      </w:r>
    </w:p>
    <w:p w:rsidR="00617421" w:rsidRDefault="00617421">
      <w:pPr>
        <w:tabs>
          <w:tab w:val="clear" w:pos="2880"/>
        </w:tabs>
        <w:rPr>
          <w:rFonts w:eastAsiaTheme="majorEastAsia"/>
          <w:b/>
          <w:bCs/>
          <w:color w:val="1F497D" w:themeColor="text2"/>
          <w:sz w:val="26"/>
          <w:szCs w:val="26"/>
        </w:rPr>
      </w:pPr>
      <w:bookmarkStart w:id="45" w:name="_Toc502917031"/>
      <w:r>
        <w:br w:type="page"/>
      </w:r>
    </w:p>
    <w:p w:rsidR="00617421" w:rsidRDefault="00617421" w:rsidP="000149D5">
      <w:pPr>
        <w:pStyle w:val="Heading2"/>
        <w:sectPr w:rsidR="00617421" w:rsidSect="00606261">
          <w:footnotePr>
            <w:numRestart w:val="eachSect"/>
          </w:footnotePr>
          <w:endnotePr>
            <w:numFmt w:val="decimal"/>
            <w:numRestart w:val="eachSect"/>
          </w:endnotePr>
          <w:pgSz w:w="11907" w:h="16839" w:code="9"/>
          <w:pgMar w:top="1417" w:right="1417" w:bottom="1417" w:left="1417" w:header="0" w:footer="0" w:gutter="0"/>
          <w:cols w:space="708"/>
          <w:docGrid w:linePitch="360"/>
        </w:sectPr>
      </w:pPr>
    </w:p>
    <w:p w:rsidR="00617421" w:rsidRDefault="00617421" w:rsidP="000149D5">
      <w:pPr>
        <w:pStyle w:val="Heading2"/>
      </w:pPr>
      <w:bookmarkStart w:id="46" w:name="_Toc409220384"/>
      <w:r>
        <w:lastRenderedPageBreak/>
        <w:t>12. Improvement of the database of the convicted and transfer of the penitentiary department entirely onto the electronic workflow management</w:t>
      </w:r>
      <w:bookmarkEnd w:id="45"/>
      <w:bookmarkEnd w:id="46"/>
    </w:p>
    <w:p w:rsidR="00617421" w:rsidRDefault="00617421" w:rsidP="000149D5">
      <w:pPr>
        <w:tabs>
          <w:tab w:val="left" w:pos="1840"/>
        </w:tabs>
      </w:pPr>
      <w:r>
        <w:tab/>
      </w:r>
    </w:p>
    <w:p w:rsidR="00617421" w:rsidRPr="00D167D9" w:rsidRDefault="00617421" w:rsidP="000149D5">
      <w:pPr>
        <w:rPr>
          <w:b/>
          <w:szCs w:val="22"/>
        </w:rPr>
      </w:pPr>
      <w:r w:rsidRPr="00D167D9">
        <w:rPr>
          <w:b/>
          <w:szCs w:val="22"/>
        </w:rPr>
        <w:t xml:space="preserve">Commitment Text: </w:t>
      </w:r>
    </w:p>
    <w:p w:rsidR="00617421" w:rsidRPr="00D77773" w:rsidRDefault="00617421" w:rsidP="000149D5">
      <w:pPr>
        <w:pStyle w:val="APQuotefeaturetol"/>
      </w:pPr>
      <w:r w:rsidRPr="00D77773">
        <w:t>The Ministry of Corrections of Georgia will improve the existing or create a new convicted database for 2017. The existing database cannot provide adequate processing</w:t>
      </w:r>
      <w:r>
        <w:t>/</w:t>
      </w:r>
      <w:r w:rsidRPr="00D77773">
        <w:t>sorting of the data; complete data is not outlined in the database, and appropriate filtration is not possible.</w:t>
      </w:r>
    </w:p>
    <w:p w:rsidR="00617421" w:rsidRPr="00D77773" w:rsidRDefault="00617421" w:rsidP="000149D5">
      <w:pPr>
        <w:pStyle w:val="APQuotefeaturetol"/>
      </w:pPr>
      <w:r w:rsidRPr="00D77773">
        <w:t>Updated database will be introduced gradually. At the first stage the shortcomings of the existing system will be identified. The Ministry will study good practices of various countries and successful systems in this field. At the later stage, the future system model will be developed and tested.</w:t>
      </w:r>
    </w:p>
    <w:p w:rsidR="00617421" w:rsidRPr="00D77773" w:rsidRDefault="00617421" w:rsidP="000149D5">
      <w:pPr>
        <w:pStyle w:val="APQuotefeaturetol"/>
      </w:pPr>
      <w:r w:rsidRPr="00D77773">
        <w:t>The updated base will allow the entire transfer of Penitentiary System and Penitentiary Department to an electronic workflow management system. Concurrently, this will enable better processing and analysis of statistical data, and better protection of personal data.</w:t>
      </w:r>
    </w:p>
    <w:p w:rsidR="00617421" w:rsidRDefault="00617421" w:rsidP="000149D5"/>
    <w:p w:rsidR="00617421" w:rsidRPr="00505C1E" w:rsidRDefault="00617421" w:rsidP="000149D5">
      <w:pPr>
        <w:pStyle w:val="Normalrglronly"/>
      </w:pPr>
      <w:r w:rsidRPr="00505C1E">
        <w:t xml:space="preserve">Responsible institution: </w:t>
      </w:r>
      <w:r w:rsidRPr="00505C1E">
        <w:rPr>
          <w:noProof/>
        </w:rPr>
        <w:t>Ministry of Corrections of Georgia</w:t>
      </w:r>
    </w:p>
    <w:p w:rsidR="00617421" w:rsidRPr="00505C1E" w:rsidRDefault="00617421" w:rsidP="000149D5">
      <w:pPr>
        <w:pStyle w:val="Normalrglronly"/>
      </w:pPr>
      <w:r w:rsidRPr="00505C1E">
        <w:t>Supporting institution(s): European Union (</w:t>
      </w:r>
      <w:r w:rsidRPr="00505C1E">
        <w:rPr>
          <w:noProof/>
        </w:rPr>
        <w:t>EU) Technical Assistance Project</w:t>
      </w:r>
    </w:p>
    <w:p w:rsidR="00617421" w:rsidRPr="00505C1E" w:rsidRDefault="00617421" w:rsidP="00505C1E">
      <w:pPr>
        <w:spacing w:after="120"/>
        <w:rPr>
          <w:szCs w:val="22"/>
        </w:rPr>
      </w:pPr>
      <w:r w:rsidRPr="00505C1E">
        <w:rPr>
          <w:szCs w:val="22"/>
        </w:rPr>
        <w:t xml:space="preserve">Start date: April 2016                       </w:t>
      </w:r>
      <w:r w:rsidRPr="00505C1E">
        <w:rPr>
          <w:szCs w:val="22"/>
        </w:rPr>
        <w:tab/>
        <w:t>End date: December 2017</w:t>
      </w:r>
    </w:p>
    <w:p w:rsidR="00617421" w:rsidRDefault="00617421" w:rsidP="000149D5">
      <w:pPr>
        <w:rPr>
          <w:szCs w:val="22"/>
        </w:rPr>
      </w:pPr>
    </w:p>
    <w:tbl>
      <w:tblPr>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rsidTr="00C60967">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C60967">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C60967">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617421" w:rsidRPr="004B1C12" w:rsidTr="00C60967">
        <w:trPr>
          <w:trHeight w:val="600"/>
        </w:trPr>
        <w:tc>
          <w:tcPr>
            <w:tcW w:w="1596" w:type="dxa"/>
            <w:vMerge w:val="restart"/>
            <w:tcBorders>
              <w:top w:val="single" w:sz="18" w:space="0" w:color="FFFFFF"/>
              <w:left w:val="single" w:sz="4" w:space="0" w:color="FFFFFF"/>
            </w:tcBorders>
            <w:shd w:val="clear" w:color="auto" w:fill="000000"/>
            <w:vAlign w:val="center"/>
          </w:tcPr>
          <w:p w:rsidR="00617421" w:rsidRPr="0010229D" w:rsidRDefault="00617421" w:rsidP="00C60967">
            <w:pPr>
              <w:rPr>
                <w:color w:val="FFFFFF" w:themeColor="background1"/>
              </w:rPr>
            </w:pPr>
            <w:r w:rsidRPr="00E60731">
              <w:rPr>
                <w:color w:val="FFFFFF" w:themeColor="background1"/>
              </w:rPr>
              <w:t>12. Database of the convicted and electronic workflow management</w:t>
            </w:r>
            <w:r w:rsidRPr="000149D5">
              <w:rPr>
                <w:rFonts w:ascii="Segoe UI Symbol" w:hAnsi="Segoe UI Symbol" w:cs="Segoe UI Symbol"/>
                <w:color w:val="FFFFFF" w:themeColor="background1"/>
              </w:rPr>
              <w:t xml:space="preserve">  </w:t>
            </w:r>
          </w:p>
        </w:tc>
        <w:tc>
          <w:tcPr>
            <w:tcW w:w="445" w:type="dxa"/>
            <w:vMerge w:val="restart"/>
            <w:tcBorders>
              <w:top w:val="single" w:sz="18" w:space="0" w:color="FFFFFF"/>
              <w:right w:val="single" w:sz="2" w:space="0" w:color="FFFFFF"/>
            </w:tcBorders>
            <w:shd w:val="clear" w:color="auto" w:fill="D6E3BC"/>
            <w:vAlign w:val="center"/>
          </w:tcPr>
          <w:p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10229D" w:rsidRDefault="00617421" w:rsidP="00C60967">
            <w:r w:rsidRPr="00D034D3">
              <w:rPr>
                <w:rFonts w:ascii="MS Mincho" w:eastAsia="MS Mincho" w:hAnsi="MS Mincho" w:cs="MS Mincho"/>
                <w:noProof/>
                <w:szCs w:val="22"/>
              </w:rPr>
              <w:t>✔</w:t>
            </w:r>
          </w:p>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rsidR="00617421" w:rsidRPr="0010229D" w:rsidRDefault="00617421" w:rsidP="00C60967">
            <w:pPr>
              <w:jc w:val="center"/>
            </w:pPr>
            <w: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10229D" w:rsidRDefault="00617421" w:rsidP="00C60967"/>
        </w:tc>
      </w:tr>
      <w:tr w:rsidR="00617421" w:rsidRPr="004B1C12" w:rsidTr="00C60967">
        <w:trPr>
          <w:trHeight w:val="636"/>
        </w:trPr>
        <w:tc>
          <w:tcPr>
            <w:tcW w:w="1596" w:type="dxa"/>
            <w:vMerge/>
            <w:tcBorders>
              <w:left w:val="nil"/>
              <w:bottom w:val="single" w:sz="18" w:space="0" w:color="FFFFFF"/>
            </w:tcBorders>
            <w:shd w:val="clear" w:color="auto" w:fill="000000"/>
            <w:vAlign w:val="center"/>
          </w:tcPr>
          <w:p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2"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rsidR="00617421" w:rsidRPr="0010229D" w:rsidRDefault="00617421" w:rsidP="00C60967"/>
        </w:tc>
      </w:tr>
    </w:tbl>
    <w:p w:rsidR="00617421" w:rsidRDefault="00617421" w:rsidP="000149D5">
      <w:pPr>
        <w:rPr>
          <w:lang w:val="en-GB"/>
        </w:rPr>
      </w:pPr>
    </w:p>
    <w:p w:rsidR="00617421" w:rsidRDefault="00617421" w:rsidP="00FE5928">
      <w:pPr>
        <w:pStyle w:val="Heading3"/>
      </w:pPr>
      <w:r w:rsidRPr="0010229D">
        <w:t xml:space="preserve">Commitment </w:t>
      </w:r>
      <w:r w:rsidRPr="004B1C12">
        <w:t>A</w:t>
      </w:r>
      <w:r w:rsidRPr="0010229D">
        <w:t>im:</w:t>
      </w:r>
    </w:p>
    <w:p w:rsidR="00617421" w:rsidRDefault="00617421" w:rsidP="00794C43">
      <w:r>
        <w:t xml:space="preserve">The Georgian citizens </w:t>
      </w:r>
      <w:r w:rsidRPr="00794C43">
        <w:t xml:space="preserve">had very little information about the processes within the </w:t>
      </w:r>
      <w:r>
        <w:t xml:space="preserve">penitentiary </w:t>
      </w:r>
      <w:r w:rsidRPr="00794C43">
        <w:t>system and even the</w:t>
      </w:r>
      <w:r>
        <w:t xml:space="preserve"> specialized organizations </w:t>
      </w:r>
      <w:r w:rsidRPr="00794C43">
        <w:t xml:space="preserve">faced difficulties obtaining official data about </w:t>
      </w:r>
      <w:r>
        <w:t>prisoners and their conditions. To address this</w:t>
      </w:r>
      <w:r w:rsidRPr="00794C43">
        <w:t xml:space="preserve">, the </w:t>
      </w:r>
      <w:r>
        <w:t xml:space="preserve">then </w:t>
      </w:r>
      <w:r w:rsidRPr="00794C43">
        <w:t>Ministry of Corrections pledged to study the shortcomings of the existing databases</w:t>
      </w:r>
      <w:r>
        <w:t xml:space="preserve"> of the convicted, study the </w:t>
      </w:r>
      <w:r w:rsidRPr="00794C43">
        <w:t xml:space="preserve">international </w:t>
      </w:r>
      <w:r w:rsidRPr="00794C43">
        <w:lastRenderedPageBreak/>
        <w:t xml:space="preserve">standards for building and running </w:t>
      </w:r>
      <w:r>
        <w:t>those databases</w:t>
      </w:r>
      <w:r w:rsidRPr="00794C43">
        <w:t>, and update or creat</w:t>
      </w:r>
      <w:r>
        <w:t xml:space="preserve">e a new database based on </w:t>
      </w:r>
      <w:r w:rsidRPr="00794C43">
        <w:t>best standards.</w:t>
      </w:r>
      <w:r>
        <w:t xml:space="preserve">  </w:t>
      </w:r>
      <w:r w:rsidRPr="001A0062">
        <w:rPr>
          <w:i/>
          <w:color w:val="4F81BD" w:themeColor="accent1"/>
        </w:rPr>
        <w:t xml:space="preserve"> </w:t>
      </w:r>
    </w:p>
    <w:p w:rsidR="00617421" w:rsidRPr="0010229D" w:rsidRDefault="00617421" w:rsidP="00FE5928">
      <w:pPr>
        <w:pStyle w:val="Heading3"/>
      </w:pPr>
      <w:r w:rsidRPr="0010229D">
        <w:t>Status</w:t>
      </w:r>
    </w:p>
    <w:p w:rsidR="00617421" w:rsidRDefault="00617421" w:rsidP="00794C43">
      <w:pPr>
        <w:pStyle w:val="Normalrglronly"/>
        <w:rPr>
          <w:b/>
          <w:color w:val="000000" w:themeColor="text1"/>
        </w:rPr>
      </w:pPr>
      <w:r w:rsidRPr="004B1C12">
        <w:rPr>
          <w:b/>
        </w:rPr>
        <w:t xml:space="preserve">Midterm: </w:t>
      </w:r>
      <w:r w:rsidRPr="004B1C12">
        <w:rPr>
          <w:b/>
          <w:color w:val="000000" w:themeColor="text1"/>
        </w:rPr>
        <w:t>Limited</w:t>
      </w:r>
    </w:p>
    <w:p w:rsidR="00617421" w:rsidRPr="00A728F1" w:rsidRDefault="00617421" w:rsidP="00794C43">
      <w:pPr>
        <w:pStyle w:val="Normalrglronly"/>
        <w:rPr>
          <w:rFonts w:ascii="Sylfaen" w:hAnsi="Sylfaen"/>
          <w:b/>
          <w:lang w:val="ka-GE"/>
        </w:rPr>
      </w:pPr>
      <w:r w:rsidRPr="00794C43">
        <w:t xml:space="preserve">At the mid-term, the commitment </w:t>
      </w:r>
      <w:r w:rsidR="003D01CD">
        <w:t>had seen</w:t>
      </w:r>
      <w:r w:rsidR="003D01CD" w:rsidRPr="00794C43">
        <w:t xml:space="preserve"> </w:t>
      </w:r>
      <w:r w:rsidRPr="00794C43">
        <w:t xml:space="preserve">limited implementation. </w:t>
      </w:r>
      <w:r>
        <w:t xml:space="preserve">The Ministry of Corrections </w:t>
      </w:r>
      <w:r w:rsidRPr="00794C43">
        <w:t xml:space="preserve">worked on improving its databases in partnership with the European Union for Justice Project. The assessment conducted within the system identified the need to harmonize different databases of the convicted and to create a new unified database, which would automatically generate the information needed. </w:t>
      </w:r>
      <w:r>
        <w:t xml:space="preserve">However, this information would </w:t>
      </w:r>
      <w:r w:rsidRPr="00794C43">
        <w:t>be for internal use only. Even within the</w:t>
      </w:r>
      <w:r>
        <w:t xml:space="preserve"> penitentiary system, there would</w:t>
      </w:r>
      <w:r w:rsidRPr="00794C43">
        <w:t xml:space="preserve"> be different levels of access to it,</w:t>
      </w:r>
      <w:r>
        <w:t xml:space="preserve"> meaning that not everyone would have the full access.  </w:t>
      </w:r>
      <w:r>
        <w:rPr>
          <w:rFonts w:ascii="Sylfaen" w:hAnsi="Sylfaen"/>
          <w:lang w:val="ka-GE"/>
        </w:rPr>
        <w:t xml:space="preserve"> </w:t>
      </w:r>
    </w:p>
    <w:p w:rsidR="00617421" w:rsidRPr="004B1C12" w:rsidRDefault="00617421" w:rsidP="00794C43">
      <w:pPr>
        <w:pStyle w:val="Normalrglronly"/>
        <w:rPr>
          <w:b/>
          <w:color w:val="000000" w:themeColor="text1"/>
        </w:rPr>
      </w:pPr>
      <w:r w:rsidRPr="004B1C12">
        <w:rPr>
          <w:b/>
        </w:rPr>
        <w:t xml:space="preserve">End of term: </w:t>
      </w:r>
      <w:r w:rsidRPr="004B1C12">
        <w:rPr>
          <w:b/>
          <w:color w:val="000000" w:themeColor="text1"/>
        </w:rPr>
        <w:t>Limited</w:t>
      </w:r>
    </w:p>
    <w:p w:rsidR="00617421" w:rsidRPr="007F6352" w:rsidRDefault="00617421" w:rsidP="00794C43">
      <w:pPr>
        <w:pStyle w:val="Normalrglronly"/>
        <w:rPr>
          <w:color w:val="auto"/>
          <w:shd w:val="clear" w:color="auto" w:fill="FFFFFF"/>
        </w:rPr>
      </w:pPr>
      <w:r>
        <w:rPr>
          <w:color w:val="auto"/>
          <w:shd w:val="clear" w:color="auto" w:fill="FFFFFF"/>
        </w:rPr>
        <w:t xml:space="preserve">The status of the commitment at the end of term remained limited. During the reporting period, the Ministry of Corrections continued cooperating with the </w:t>
      </w:r>
      <w:r w:rsidRPr="00794C43">
        <w:t>European Union for Justice Project</w:t>
      </w:r>
      <w:r w:rsidR="009227DA">
        <w:t>, the main donor for this commitment,</w:t>
      </w:r>
      <w:r>
        <w:rPr>
          <w:color w:val="auto"/>
          <w:shd w:val="clear" w:color="auto" w:fill="FFFFFF"/>
        </w:rPr>
        <w:t xml:space="preserve"> on updating the databases of the convicted, </w:t>
      </w:r>
      <w:r w:rsidR="00512B04">
        <w:rPr>
          <w:color w:val="auto"/>
          <w:shd w:val="clear" w:color="auto" w:fill="FFFFFF"/>
        </w:rPr>
        <w:t xml:space="preserve">a </w:t>
      </w:r>
      <w:r>
        <w:rPr>
          <w:color w:val="auto"/>
          <w:shd w:val="clear" w:color="auto" w:fill="FFFFFF"/>
        </w:rPr>
        <w:t>process that is expected to be completed by May 2019.</w:t>
      </w:r>
      <w:r>
        <w:rPr>
          <w:rStyle w:val="EndnoteReference"/>
          <w:color w:val="auto"/>
          <w:shd w:val="clear" w:color="auto" w:fill="FFFFFF"/>
        </w:rPr>
        <w:endnoteReference w:id="46"/>
      </w:r>
      <w:r>
        <w:rPr>
          <w:color w:val="auto"/>
          <w:shd w:val="clear" w:color="auto" w:fill="FFFFFF"/>
        </w:rPr>
        <w:t xml:space="preserve"> It should also be noted that following the July 2018 amendments to the law, the functions of the Ministry of Corrections, specifically those related to the penitentiary system, were transferred to the special agency under the Ministry of Justice – Special Penitentiary Service.</w:t>
      </w:r>
      <w:r>
        <w:rPr>
          <w:rStyle w:val="EndnoteReference"/>
          <w:color w:val="auto"/>
          <w:shd w:val="clear" w:color="auto" w:fill="FFFFFF"/>
        </w:rPr>
        <w:endnoteReference w:id="47"/>
      </w:r>
      <w:r>
        <w:rPr>
          <w:color w:val="auto"/>
          <w:shd w:val="clear" w:color="auto" w:fill="FFFFFF"/>
        </w:rPr>
        <w:t xml:space="preserve"> </w:t>
      </w:r>
    </w:p>
    <w:p w:rsidR="00617421"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rsidR="00617421" w:rsidRPr="00534651" w:rsidRDefault="00617421" w:rsidP="00534651">
      <w:pPr>
        <w:rPr>
          <w:lang w:val="en-GB"/>
        </w:rPr>
      </w:pPr>
      <w:r>
        <w:rPr>
          <w:b/>
          <w:color w:val="000000" w:themeColor="text1"/>
        </w:rPr>
        <w:t>Did Not Change</w:t>
      </w:r>
    </w:p>
    <w:p w:rsidR="00617421" w:rsidRDefault="00617421" w:rsidP="00794C43">
      <w:pPr>
        <w:rPr>
          <w:b/>
          <w:color w:val="000000" w:themeColor="text1"/>
        </w:rPr>
      </w:pPr>
    </w:p>
    <w:p w:rsidR="00617421" w:rsidRPr="004B1C12" w:rsidRDefault="00512B04" w:rsidP="00794C43">
      <w:pPr>
        <w:rPr>
          <w:b/>
          <w:color w:val="000000" w:themeColor="text1"/>
        </w:rPr>
      </w:pPr>
      <w:r>
        <w:t xml:space="preserve">As written, the </w:t>
      </w:r>
      <w:r w:rsidR="00617421">
        <w:t xml:space="preserve">commitment </w:t>
      </w:r>
      <w:r>
        <w:t>is not clearly relevant</w:t>
      </w:r>
      <w:r w:rsidR="00617421">
        <w:t xml:space="preserve"> to OGP </w:t>
      </w:r>
      <w:r>
        <w:t xml:space="preserve">values, </w:t>
      </w:r>
      <w:r w:rsidR="00617421">
        <w:t xml:space="preserve">given </w:t>
      </w:r>
      <w:r>
        <w:t xml:space="preserve">that </w:t>
      </w:r>
      <w:r w:rsidR="00617421">
        <w:t xml:space="preserve">the database </w:t>
      </w:r>
      <w:r>
        <w:t>was only</w:t>
      </w:r>
      <w:r w:rsidR="00617421">
        <w:t xml:space="preserve"> intended for internal use.</w:t>
      </w:r>
      <w:r>
        <w:t xml:space="preserve"> In practice, </w:t>
      </w:r>
      <w:r w:rsidR="00CA269C">
        <w:t xml:space="preserve">the commitment did not open the government’s penitentiary system either since no new data on the convicted </w:t>
      </w:r>
      <w:r w:rsidR="00316462">
        <w:t xml:space="preserve">or on the government work and expenses in the field </w:t>
      </w:r>
      <w:r w:rsidR="00CA269C">
        <w:t xml:space="preserve">has been made available to the public.  </w:t>
      </w:r>
    </w:p>
    <w:p w:rsidR="00617421" w:rsidRDefault="00617421" w:rsidP="00FE5928">
      <w:pPr>
        <w:pStyle w:val="Heading3"/>
      </w:pPr>
      <w:r w:rsidRPr="0010229D">
        <w:t xml:space="preserve">Carried </w:t>
      </w:r>
      <w:r w:rsidRPr="004B1C12">
        <w:t>F</w:t>
      </w:r>
      <w:r w:rsidRPr="0010229D">
        <w:t>orward?</w:t>
      </w:r>
    </w:p>
    <w:p w:rsidR="00617421" w:rsidRDefault="00512B04" w:rsidP="009227DA">
      <w:pPr>
        <w:pStyle w:val="Normalrglronly"/>
        <w:rPr>
          <w:lang w:val="en-GB"/>
        </w:rPr>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EC3481">
        <w:rPr>
          <w:color w:val="000000" w:themeColor="text1"/>
        </w:rPr>
        <w:t>19</w:t>
      </w:r>
      <w:r w:rsidR="00617421">
        <w:rPr>
          <w:lang w:val="en-GB"/>
        </w:rPr>
        <w:t xml:space="preserve">. </w:t>
      </w:r>
    </w:p>
    <w:p w:rsidR="00617421" w:rsidRDefault="00617421">
      <w:pPr>
        <w:tabs>
          <w:tab w:val="clear" w:pos="2880"/>
        </w:tabs>
        <w:rPr>
          <w:rFonts w:eastAsiaTheme="majorEastAsia"/>
          <w:b/>
          <w:bCs/>
          <w:color w:val="1F497D" w:themeColor="text2"/>
          <w:sz w:val="26"/>
          <w:szCs w:val="26"/>
        </w:rPr>
      </w:pPr>
      <w:bookmarkStart w:id="47" w:name="_Toc502917032"/>
      <w:r>
        <w:br w:type="page"/>
      </w:r>
    </w:p>
    <w:p w:rsidR="00617421" w:rsidRDefault="00617421" w:rsidP="00F26B4A">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Default="00617421" w:rsidP="00F26B4A">
      <w:pPr>
        <w:pStyle w:val="Heading2"/>
      </w:pPr>
      <w:bookmarkStart w:id="48" w:name="_Toc409220385"/>
      <w:r w:rsidRPr="00697738">
        <w:lastRenderedPageBreak/>
        <w:t xml:space="preserve">13. </w:t>
      </w:r>
      <w:r>
        <w:t>Publication of phone tapping data according to the nature of the crime and geographic area</w:t>
      </w:r>
      <w:bookmarkEnd w:id="47"/>
      <w:bookmarkEnd w:id="48"/>
    </w:p>
    <w:p w:rsidR="00617421" w:rsidRDefault="00617421" w:rsidP="00F26B4A">
      <w:pPr>
        <w:tabs>
          <w:tab w:val="left" w:pos="1840"/>
        </w:tabs>
      </w:pPr>
      <w:r>
        <w:tab/>
      </w:r>
    </w:p>
    <w:p w:rsidR="00617421" w:rsidRPr="00D167D9" w:rsidRDefault="00617421" w:rsidP="00F26B4A">
      <w:pPr>
        <w:rPr>
          <w:b/>
          <w:szCs w:val="22"/>
        </w:rPr>
      </w:pPr>
      <w:r w:rsidRPr="00D167D9">
        <w:rPr>
          <w:b/>
          <w:szCs w:val="22"/>
        </w:rPr>
        <w:t xml:space="preserve">Commitment Text: </w:t>
      </w:r>
    </w:p>
    <w:p w:rsidR="00617421" w:rsidRDefault="00617421" w:rsidP="00F26B4A">
      <w:pPr>
        <w:pStyle w:val="APQuotefeaturetol"/>
      </w:pPr>
      <w:r>
        <w:t>The given commitment is a prominent example of the cooperation of the government and the civil society. By the recommendation of the Forum member NGOs, in the framework of the second Action Plan of the Open Government Georgia, the Supreme Court of Georgia started to proactively publish phone tapping statistics. Due to this fact, Georgia entered a small group of countries where such data is publicly disclosed. Independent Reporting Mechanism (IRM) of OGP marked this commitment of the second Action Plan as ‘starred’ commitment.</w:t>
      </w:r>
    </w:p>
    <w:p w:rsidR="00617421" w:rsidRDefault="00617421" w:rsidP="00F26B4A">
      <w:pPr>
        <w:pStyle w:val="APQuotefeaturetol"/>
      </w:pPr>
      <w:r>
        <w:t>In addition, the IRM report noted that data shall be published in such a manner that it can be sorted by crime and geographic area. The Chairperson of the Supreme Court directly reacted to the recommendation and stated that the court would adopt this as a new commitment in the framework of the Third Action Plan of OGP.</w:t>
      </w:r>
    </w:p>
    <w:p w:rsidR="00617421" w:rsidRDefault="00617421" w:rsidP="00F26B4A">
      <w:pPr>
        <w:pStyle w:val="APQuotefeaturetol"/>
      </w:pPr>
      <w:r>
        <w:t>Hence, the court plans to introduce new statistical reporting forms that will allow for obtaining and publishing detailed phone tapping data, as well as processing the data according to the crime differentiation and courts. Data will be published in Excel files on the website www.supremecourt.ge under the section of OGP, on the News block and Statistics link.</w:t>
      </w:r>
    </w:p>
    <w:p w:rsidR="00617421" w:rsidRDefault="00617421" w:rsidP="00F26B4A"/>
    <w:p w:rsidR="00617421" w:rsidRPr="00505C1E" w:rsidRDefault="00617421" w:rsidP="00F26B4A">
      <w:pPr>
        <w:pStyle w:val="Normalrglronly"/>
      </w:pPr>
      <w:r w:rsidRPr="00505C1E">
        <w:t xml:space="preserve">Responsible institution: </w:t>
      </w:r>
      <w:r w:rsidRPr="00505C1E">
        <w:rPr>
          <w:noProof/>
        </w:rPr>
        <w:t>Supreme Court of Georgia</w:t>
      </w:r>
    </w:p>
    <w:p w:rsidR="00617421" w:rsidRPr="00505C1E" w:rsidRDefault="00617421" w:rsidP="00F26B4A">
      <w:pPr>
        <w:pStyle w:val="Normalrglronly"/>
      </w:pPr>
      <w:r w:rsidRPr="00505C1E">
        <w:t xml:space="preserve">Supporting institution(s): </w:t>
      </w:r>
      <w:r w:rsidRPr="00505C1E">
        <w:rPr>
          <w:noProof/>
        </w:rPr>
        <w:t>None</w:t>
      </w:r>
    </w:p>
    <w:p w:rsidR="00617421" w:rsidRPr="00505C1E" w:rsidRDefault="00617421" w:rsidP="00505C1E">
      <w:pPr>
        <w:spacing w:after="120"/>
      </w:pPr>
      <w:r w:rsidRPr="00505C1E">
        <w:rPr>
          <w:szCs w:val="22"/>
        </w:rPr>
        <w:t>Start date: July 2016</w:t>
      </w:r>
      <w:r w:rsidRPr="00505C1E">
        <w:t xml:space="preserve">                           </w:t>
      </w:r>
      <w:r w:rsidRPr="00505C1E">
        <w:tab/>
      </w:r>
      <w:r w:rsidRPr="00505C1E">
        <w:rPr>
          <w:szCs w:val="22"/>
        </w:rPr>
        <w:t>End date: January 2017</w:t>
      </w:r>
    </w:p>
    <w:p w:rsidR="00617421" w:rsidRDefault="00617421" w:rsidP="00F26B4A">
      <w:pPr>
        <w:rPr>
          <w:szCs w:val="22"/>
        </w:rPr>
      </w:pPr>
    </w:p>
    <w:tbl>
      <w:tblPr>
        <w:tblW w:w="10971"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478"/>
        <w:gridCol w:w="422"/>
        <w:gridCol w:w="478"/>
        <w:gridCol w:w="360"/>
        <w:gridCol w:w="323"/>
      </w:tblGrid>
      <w:tr w:rsidR="00617421" w:rsidRPr="004B1C12"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E60731">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478"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42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8"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6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2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617421" w:rsidRPr="004B1C12" w:rsidTr="00E60731">
        <w:trPr>
          <w:trHeight w:val="600"/>
        </w:trPr>
        <w:tc>
          <w:tcPr>
            <w:tcW w:w="1596" w:type="dxa"/>
            <w:vMerge w:val="restart"/>
            <w:tcBorders>
              <w:top w:val="single" w:sz="18" w:space="0" w:color="FFFFFF"/>
              <w:left w:val="single" w:sz="4" w:space="0" w:color="FFFFFF"/>
            </w:tcBorders>
            <w:shd w:val="clear" w:color="auto" w:fill="000000"/>
            <w:vAlign w:val="center"/>
          </w:tcPr>
          <w:p w:rsidR="00617421" w:rsidRPr="00FF7B5E" w:rsidRDefault="00617421" w:rsidP="00C60967">
            <w:pPr>
              <w:rPr>
                <w:color w:val="FFFFFF" w:themeColor="background1"/>
              </w:rPr>
            </w:pPr>
            <w:r w:rsidRPr="00FF7B5E">
              <w:rPr>
                <w:rFonts w:hint="cs"/>
                <w:color w:val="FFFFFF" w:themeColor="background1"/>
              </w:rPr>
              <w:t xml:space="preserve">13. Publication of phone tapping data </w:t>
            </w:r>
          </w:p>
        </w:tc>
        <w:tc>
          <w:tcPr>
            <w:tcW w:w="445" w:type="dxa"/>
            <w:vMerge w:val="restart"/>
            <w:tcBorders>
              <w:top w:val="single" w:sz="18" w:space="0" w:color="FFFFFF"/>
              <w:right w:val="single" w:sz="2" w:space="0" w:color="FFFFFF"/>
            </w:tcBorders>
            <w:shd w:val="clear" w:color="auto" w:fill="D6E3BC"/>
            <w:vAlign w:val="center"/>
          </w:tcPr>
          <w:p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10229D" w:rsidRDefault="00617421" w:rsidP="00C60967">
            <w:r w:rsidRPr="0010229D">
              <w:rPr>
                <w:rFonts w:ascii="MS Mincho" w:eastAsia="MS Mincho" w:hAnsi="MS Mincho" w:cs="MS Mincho"/>
                <w:sz w:val="20"/>
              </w:rPr>
              <w:t>✔</w:t>
            </w:r>
          </w:p>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478" w:type="dxa"/>
            <w:vMerge w:val="restart"/>
            <w:tcBorders>
              <w:top w:val="single" w:sz="18" w:space="0" w:color="FFFFFF"/>
              <w:left w:val="single" w:sz="18" w:space="0" w:color="FFFFFF"/>
              <w:right w:val="single" w:sz="2" w:space="0" w:color="FFFFFF"/>
            </w:tcBorders>
            <w:shd w:val="clear" w:color="auto" w:fill="D99594"/>
            <w:vAlign w:val="center"/>
          </w:tcPr>
          <w:p w:rsidR="00617421" w:rsidRPr="0010229D" w:rsidRDefault="00617421" w:rsidP="00C60967"/>
        </w:tc>
        <w:tc>
          <w:tcPr>
            <w:tcW w:w="422"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478"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23" w:type="dxa"/>
            <w:vMerge w:val="restart"/>
            <w:tcBorders>
              <w:top w:val="single" w:sz="18" w:space="0" w:color="FFFFFF"/>
              <w:left w:val="single" w:sz="2" w:space="0" w:color="FFFFFF"/>
              <w:right w:val="single" w:sz="18" w:space="0" w:color="FFFFFF"/>
            </w:tcBorders>
            <w:shd w:val="clear" w:color="auto" w:fill="D99594"/>
          </w:tcPr>
          <w:p w:rsidR="00617421" w:rsidRPr="0010229D" w:rsidRDefault="00617421" w:rsidP="00C60967"/>
        </w:tc>
      </w:tr>
      <w:tr w:rsidR="00617421" w:rsidRPr="004B1C12" w:rsidTr="00E60731">
        <w:trPr>
          <w:trHeight w:val="636"/>
        </w:trPr>
        <w:tc>
          <w:tcPr>
            <w:tcW w:w="1596" w:type="dxa"/>
            <w:vMerge/>
            <w:tcBorders>
              <w:left w:val="nil"/>
              <w:bottom w:val="single" w:sz="18" w:space="0" w:color="FFFFFF"/>
            </w:tcBorders>
            <w:shd w:val="clear" w:color="auto" w:fill="000000"/>
            <w:vAlign w:val="center"/>
          </w:tcPr>
          <w:p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617421" w:rsidRPr="0010229D" w:rsidRDefault="00617421"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478" w:type="dxa"/>
            <w:vMerge/>
            <w:tcBorders>
              <w:left w:val="single" w:sz="18" w:space="0" w:color="FFFFFF"/>
              <w:bottom w:val="single" w:sz="18" w:space="0" w:color="FFFFFF"/>
              <w:right w:val="single" w:sz="2" w:space="0" w:color="FFFFFF"/>
            </w:tcBorders>
            <w:shd w:val="clear" w:color="auto" w:fill="D99594"/>
            <w:vAlign w:val="center"/>
          </w:tcPr>
          <w:p w:rsidR="00617421" w:rsidRPr="0010229D" w:rsidRDefault="00617421" w:rsidP="00C60967"/>
        </w:tc>
        <w:tc>
          <w:tcPr>
            <w:tcW w:w="422"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478"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23" w:type="dxa"/>
            <w:vMerge/>
            <w:tcBorders>
              <w:left w:val="single" w:sz="2" w:space="0" w:color="FFFFFF"/>
              <w:bottom w:val="single" w:sz="18" w:space="0" w:color="FFFFFF"/>
              <w:right w:val="single" w:sz="18" w:space="0" w:color="FFFFFF"/>
            </w:tcBorders>
            <w:shd w:val="clear" w:color="auto" w:fill="D99594"/>
          </w:tcPr>
          <w:p w:rsidR="00617421" w:rsidRPr="0010229D" w:rsidRDefault="00617421" w:rsidP="00C60967"/>
        </w:tc>
      </w:tr>
    </w:tbl>
    <w:p w:rsidR="00617421" w:rsidRDefault="00617421" w:rsidP="00F26B4A">
      <w:pPr>
        <w:rPr>
          <w:lang w:val="en-GB"/>
        </w:rPr>
      </w:pPr>
    </w:p>
    <w:p w:rsidR="00C63ADF" w:rsidRDefault="00C63ADF" w:rsidP="00FE5928">
      <w:pPr>
        <w:pStyle w:val="Heading3"/>
      </w:pPr>
      <w:r w:rsidRPr="0010229D">
        <w:t xml:space="preserve">Commitment </w:t>
      </w:r>
      <w:r w:rsidRPr="004B1C12">
        <w:t>A</w:t>
      </w:r>
      <w:r w:rsidRPr="0010229D">
        <w:t>im:</w:t>
      </w:r>
    </w:p>
    <w:p w:rsidR="00C63ADF" w:rsidRDefault="00C63ADF" w:rsidP="00C63ADF">
      <w:r>
        <w:t>In accordance with</w:t>
      </w:r>
      <w:r w:rsidRPr="00F26B4A">
        <w:t xml:space="preserve"> IRM recommendations from the </w:t>
      </w:r>
      <w:r>
        <w:t xml:space="preserve">IRM progress report 2015, </w:t>
      </w:r>
      <w:r w:rsidRPr="00F26B4A">
        <w:t xml:space="preserve">the Supreme Court </w:t>
      </w:r>
      <w:r>
        <w:t xml:space="preserve">committed </w:t>
      </w:r>
      <w:r w:rsidRPr="00F26B4A">
        <w:t>to publish</w:t>
      </w:r>
      <w:r>
        <w:t>ing</w:t>
      </w:r>
      <w:r w:rsidRPr="00F26B4A">
        <w:t xml:space="preserve"> phone tapping data broken down by the nature and geographic </w:t>
      </w:r>
      <w:r w:rsidRPr="00F26B4A">
        <w:lastRenderedPageBreak/>
        <w:t xml:space="preserve">distribution of crimes, for which the courts grant motions on tapping the phones of crime suspects. The Supreme Court pledged </w:t>
      </w:r>
      <w:r>
        <w:t xml:space="preserve">to publish this data </w:t>
      </w:r>
      <w:r w:rsidRPr="00F26B4A">
        <w:t>in Microsoft Excel files on its website</w:t>
      </w:r>
      <w:r w:rsidRPr="00794C43">
        <w:t>.</w:t>
      </w:r>
      <w:r>
        <w:t xml:space="preserve">  </w:t>
      </w:r>
      <w:r w:rsidRPr="001A0062">
        <w:rPr>
          <w:i/>
          <w:color w:val="4F81BD" w:themeColor="accent1"/>
        </w:rPr>
        <w:t xml:space="preserve"> </w:t>
      </w:r>
    </w:p>
    <w:p w:rsidR="00617421" w:rsidRPr="0010229D" w:rsidRDefault="00617421" w:rsidP="00FE5928">
      <w:pPr>
        <w:pStyle w:val="Heading3"/>
      </w:pPr>
      <w:r w:rsidRPr="0010229D">
        <w:t>Status</w:t>
      </w:r>
    </w:p>
    <w:p w:rsidR="00617421" w:rsidRDefault="00617421" w:rsidP="00F26B4A">
      <w:pPr>
        <w:pStyle w:val="Normalrglronly"/>
        <w:rPr>
          <w:b/>
          <w:color w:val="000000" w:themeColor="text1"/>
        </w:rPr>
      </w:pPr>
      <w:r w:rsidRPr="004B1C12">
        <w:rPr>
          <w:b/>
        </w:rPr>
        <w:t xml:space="preserve">Midterm: </w:t>
      </w:r>
      <w:r>
        <w:rPr>
          <w:b/>
          <w:color w:val="000000" w:themeColor="text1"/>
        </w:rPr>
        <w:t>Complete</w:t>
      </w:r>
    </w:p>
    <w:p w:rsidR="00617421" w:rsidRPr="00A728F1" w:rsidRDefault="00617421" w:rsidP="00F26B4A">
      <w:pPr>
        <w:pStyle w:val="Normalrglronly"/>
        <w:rPr>
          <w:rFonts w:ascii="Sylfaen" w:hAnsi="Sylfaen"/>
          <w:b/>
          <w:lang w:val="ka-GE"/>
        </w:rPr>
      </w:pPr>
      <w:r>
        <w:t xml:space="preserve">The </w:t>
      </w:r>
      <w:r w:rsidRPr="00F26B4A">
        <w:t>commitment was completed</w:t>
      </w:r>
      <w:r>
        <w:t xml:space="preserve"> at mid-term</w:t>
      </w:r>
      <w:r w:rsidRPr="00F26B4A">
        <w:t xml:space="preserve">. The Supreme Court started publishing the new data in January 2017. </w:t>
      </w:r>
      <w:r>
        <w:t>The data was</w:t>
      </w:r>
      <w:r w:rsidRPr="00F26B4A">
        <w:t xml:space="preserve"> publ</w:t>
      </w:r>
      <w:r>
        <w:t>ished in PDF format and provided</w:t>
      </w:r>
      <w:r w:rsidRPr="00F26B4A">
        <w:t xml:space="preserve"> six-month statistics based on the type of crime for which the courts grant the motions on phone tapping. </w:t>
      </w:r>
      <w:r>
        <w:t>The data also included</w:t>
      </w:r>
      <w:r w:rsidRPr="00F26B4A">
        <w:t xml:space="preserve"> articles of the</w:t>
      </w:r>
      <w:r>
        <w:t xml:space="preserve"> Criminal Code that suspects were</w:t>
      </w:r>
      <w:r w:rsidRPr="00F26B4A">
        <w:t xml:space="preserve"> charged with, the number of requests for the Prosecutor’s Office to grant the motions for phone tapping, and the number of motions that were granted, partially granted or not granted at all.  In a separate PDF </w:t>
      </w:r>
      <w:r>
        <w:t>file, the Supreme Court provided</w:t>
      </w:r>
      <w:r w:rsidRPr="00F26B4A">
        <w:t xml:space="preserve"> geographic distribution of District Courts, the number of motions discussed by those courts, and the number of motions they granted</w:t>
      </w:r>
      <w:r>
        <w:t xml:space="preserve">, partially granted or denied. </w:t>
      </w:r>
    </w:p>
    <w:p w:rsidR="00617421" w:rsidRPr="004B1C12" w:rsidRDefault="00617421" w:rsidP="00F26B4A">
      <w:pPr>
        <w:pStyle w:val="Normalrglronly"/>
        <w:rPr>
          <w:b/>
          <w:color w:val="000000" w:themeColor="text1"/>
        </w:rPr>
      </w:pPr>
      <w:r w:rsidRPr="004B1C12">
        <w:rPr>
          <w:b/>
        </w:rPr>
        <w:t xml:space="preserve">End of term: </w:t>
      </w:r>
      <w:r w:rsidRPr="004B1C12">
        <w:rPr>
          <w:b/>
          <w:color w:val="000000" w:themeColor="text1"/>
        </w:rPr>
        <w:t>Complete</w:t>
      </w:r>
    </w:p>
    <w:p w:rsidR="00617421" w:rsidRPr="00581B4D" w:rsidRDefault="00617421" w:rsidP="00F26B4A">
      <w:pPr>
        <w:pStyle w:val="Normalrglronly"/>
        <w:rPr>
          <w:color w:val="auto"/>
          <w:shd w:val="clear" w:color="auto" w:fill="FFFFFF"/>
        </w:rPr>
      </w:pPr>
      <w:r>
        <w:rPr>
          <w:color w:val="auto"/>
          <w:shd w:val="clear" w:color="auto" w:fill="FFFFFF"/>
        </w:rPr>
        <w:t xml:space="preserve">While the commitment had already been completed, the Court started publishing the aforementioned data in Excel spreadsheets </w:t>
      </w:r>
      <w:r w:rsidR="00641F6C">
        <w:rPr>
          <w:color w:val="auto"/>
          <w:shd w:val="clear" w:color="auto" w:fill="FFFFFF"/>
        </w:rPr>
        <w:t>per</w:t>
      </w:r>
      <w:r>
        <w:rPr>
          <w:color w:val="auto"/>
          <w:shd w:val="clear" w:color="auto" w:fill="FFFFFF"/>
        </w:rPr>
        <w:t xml:space="preserve"> the initial pledge.</w:t>
      </w:r>
      <w:r>
        <w:rPr>
          <w:rStyle w:val="EndnoteReference"/>
          <w:color w:val="auto"/>
          <w:shd w:val="clear" w:color="auto" w:fill="FFFFFF"/>
        </w:rPr>
        <w:endnoteReference w:id="48"/>
      </w:r>
      <w:r>
        <w:rPr>
          <w:color w:val="auto"/>
          <w:shd w:val="clear" w:color="auto" w:fill="FFFFFF"/>
        </w:rPr>
        <w:t xml:space="preserve"> This is an improvement since it allows interested </w:t>
      </w:r>
      <w:r w:rsidR="00641F6C">
        <w:rPr>
          <w:color w:val="auto"/>
          <w:shd w:val="clear" w:color="auto" w:fill="FFFFFF"/>
        </w:rPr>
        <w:t xml:space="preserve">parties </w:t>
      </w:r>
      <w:r>
        <w:rPr>
          <w:color w:val="auto"/>
          <w:shd w:val="clear" w:color="auto" w:fill="FFFFFF"/>
        </w:rPr>
        <w:t xml:space="preserve">to better re-use this data </w:t>
      </w:r>
      <w:r w:rsidR="00641F6C">
        <w:rPr>
          <w:color w:val="auto"/>
          <w:shd w:val="clear" w:color="auto" w:fill="FFFFFF"/>
        </w:rPr>
        <w:t xml:space="preserve">for </w:t>
      </w:r>
      <w:r>
        <w:rPr>
          <w:color w:val="auto"/>
          <w:shd w:val="clear" w:color="auto" w:fill="FFFFFF"/>
        </w:rPr>
        <w:t xml:space="preserve">their own </w:t>
      </w:r>
      <w:r w:rsidR="00641F6C">
        <w:rPr>
          <w:color w:val="auto"/>
          <w:shd w:val="clear" w:color="auto" w:fill="FFFFFF"/>
        </w:rPr>
        <w:t>purposes</w:t>
      </w:r>
      <w:r>
        <w:rPr>
          <w:color w:val="auto"/>
          <w:shd w:val="clear" w:color="auto" w:fill="FFFFFF"/>
        </w:rPr>
        <w:t xml:space="preserve">.  </w:t>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rsidR="00617421" w:rsidRDefault="00617421" w:rsidP="00F26B4A">
      <w:pPr>
        <w:rPr>
          <w:b/>
          <w:color w:val="000000" w:themeColor="text1"/>
        </w:rPr>
      </w:pPr>
      <w:r w:rsidRPr="004B1C12">
        <w:rPr>
          <w:b/>
          <w:color w:val="000000" w:themeColor="text1"/>
        </w:rPr>
        <w:t>Access to I</w:t>
      </w:r>
      <w:r>
        <w:rPr>
          <w:b/>
          <w:color w:val="000000" w:themeColor="text1"/>
        </w:rPr>
        <w:t>nformation: Marginal</w:t>
      </w:r>
    </w:p>
    <w:p w:rsidR="00617421" w:rsidRDefault="00617421" w:rsidP="00F26B4A">
      <w:pPr>
        <w:rPr>
          <w:b/>
          <w:color w:val="000000" w:themeColor="text1"/>
        </w:rPr>
      </w:pPr>
    </w:p>
    <w:p w:rsidR="009227DA" w:rsidRDefault="00617421" w:rsidP="00176868">
      <w:pPr>
        <w:tabs>
          <w:tab w:val="clear" w:pos="2880"/>
        </w:tabs>
      </w:pPr>
      <w:r>
        <w:t xml:space="preserve">Given this commitment was </w:t>
      </w:r>
      <w:r w:rsidR="009227DA">
        <w:t xml:space="preserve">carried forward from the previous action </w:t>
      </w:r>
      <w:r>
        <w:t xml:space="preserve">and envisaged publishing more disaggregated phone tapping data, it contributed to only a minor degree to increasing the openness of the court system in the field. </w:t>
      </w:r>
      <w:r w:rsidR="009227DA">
        <w:t>Before, the phone tapping data was not disaggregated across the nature and geographic distribution of crimes. It only included the number of motions on phone tapping submitted by the prosecutors to the courts and the number of motions granted by the courts. This data was published in PDF format unlike now when it’s being published in Excel spreadsheets.</w:t>
      </w:r>
    </w:p>
    <w:p w:rsidR="009227DA" w:rsidRDefault="009227DA" w:rsidP="00176868">
      <w:pPr>
        <w:tabs>
          <w:tab w:val="clear" w:pos="2880"/>
        </w:tabs>
      </w:pPr>
    </w:p>
    <w:p w:rsidR="00617421" w:rsidRPr="00176868" w:rsidRDefault="00617421" w:rsidP="00176868">
      <w:pPr>
        <w:tabs>
          <w:tab w:val="clear" w:pos="2880"/>
        </w:tabs>
      </w:pPr>
      <w:r>
        <w:t>Further, the published data is mainly used by some watchdog CSOs</w:t>
      </w:r>
      <w:r w:rsidR="009227DA">
        <w:t>, such as IDFI</w:t>
      </w:r>
      <w:r w:rsidR="007D0356">
        <w:t>,</w:t>
      </w:r>
      <w:r>
        <w:t xml:space="preserve"> while others and the wider public are either not aware of its existence or do not find it very useful due to the lack of details that are concealed under the state security considerations.</w:t>
      </w:r>
      <w:r w:rsidR="007D0356">
        <w:t xml:space="preserve"> TI and Georgian Young Lawyers' A</w:t>
      </w:r>
      <w:r w:rsidR="007D0356" w:rsidRPr="007D0356">
        <w:t>ssociation</w:t>
      </w:r>
      <w:r w:rsidR="007D0356">
        <w:t xml:space="preserve"> (GYLA)</w:t>
      </w:r>
      <w:r w:rsidR="007D0356" w:rsidRPr="007D0356">
        <w:t xml:space="preserve"> think that the data is still very general and does not allow for rigorous analysis of the government practice in the field. For instance, the existing data is not broken down across the categories of persons for which the courts grant motions on phone tapping while there is no data on how many tapped phone records are destroyed by the Prosecutor’s Office after the completion of their investigative activities.</w:t>
      </w:r>
    </w:p>
    <w:p w:rsidR="00617421" w:rsidRDefault="00617421" w:rsidP="00FE5928">
      <w:pPr>
        <w:pStyle w:val="Heading3"/>
      </w:pPr>
      <w:r w:rsidRPr="0010229D">
        <w:t xml:space="preserve">Carried </w:t>
      </w:r>
      <w:r w:rsidRPr="004B1C12">
        <w:t>F</w:t>
      </w:r>
      <w:r w:rsidRPr="0010229D">
        <w:t>orward?</w:t>
      </w:r>
    </w:p>
    <w:p w:rsidR="00617421" w:rsidRDefault="00641F6C" w:rsidP="00F26B4A">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w:t>
      </w:r>
      <w:r w:rsidR="00E936AF">
        <w:rPr>
          <w:color w:val="000000" w:themeColor="text1"/>
        </w:rPr>
        <w:t>019</w:t>
      </w:r>
      <w:r w:rsidR="00617421">
        <w:rPr>
          <w:lang w:val="en-GB"/>
        </w:rPr>
        <w:t xml:space="preserve">. </w:t>
      </w:r>
    </w:p>
    <w:p w:rsidR="00617421" w:rsidRDefault="00617421" w:rsidP="00F26B4A"/>
    <w:p w:rsidR="00617421" w:rsidRDefault="00617421" w:rsidP="00F26B4A"/>
    <w:p w:rsidR="00617421" w:rsidRDefault="00617421" w:rsidP="00821026">
      <w:pPr>
        <w:pStyle w:val="Heading2"/>
        <w:rPr>
          <w:rFonts w:ascii="MS Mincho" w:eastAsia="MS Mincho" w:hAnsi="MS Mincho" w:cs="MS Mincho"/>
          <w:b w:val="0"/>
          <w:noProof/>
        </w:rPr>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bookmarkStart w:id="49" w:name="_Toc525759433"/>
    </w:p>
    <w:p w:rsidR="00495552" w:rsidRDefault="00495552" w:rsidP="00821026">
      <w:pPr>
        <w:pStyle w:val="Heading2"/>
        <w:rPr>
          <w:rFonts w:ascii="MS Mincho" w:eastAsia="MS Mincho" w:hAnsi="MS Mincho" w:cs="MS Mincho"/>
          <w:b w:val="0"/>
          <w:noProof/>
        </w:rPr>
      </w:pPr>
      <w:r>
        <w:rPr>
          <w:rFonts w:ascii="MS Mincho" w:eastAsia="MS Mincho" w:hAnsi="MS Mincho" w:cs="MS Mincho"/>
          <w:b w:val="0"/>
          <w:noProof/>
        </w:rPr>
        <w:lastRenderedPageBreak/>
        <w:br w:type="page"/>
      </w:r>
    </w:p>
    <w:p w:rsidR="00617421" w:rsidRPr="004B1C12" w:rsidRDefault="00617421" w:rsidP="00821026">
      <w:pPr>
        <w:pStyle w:val="Heading2"/>
      </w:pPr>
      <w:bookmarkStart w:id="50" w:name="_Toc409220386"/>
      <w:r w:rsidRPr="0060114D">
        <w:rPr>
          <w:rFonts w:ascii="MS Mincho" w:eastAsia="MS Mincho" w:hAnsi="MS Mincho" w:cs="MS Mincho"/>
          <w:b w:val="0"/>
          <w:noProof/>
        </w:rPr>
        <w:lastRenderedPageBreak/>
        <w:t>✪</w:t>
      </w:r>
      <w:r>
        <w:t>14</w:t>
      </w:r>
      <w:r w:rsidRPr="004B1C12">
        <w:t xml:space="preserve">. </w:t>
      </w:r>
      <w:bookmarkEnd w:id="49"/>
      <w:r w:rsidRPr="00AA6C7A">
        <w:t>Increasing citizen participation in supervision of public finances (public audit)</w:t>
      </w:r>
      <w:bookmarkEnd w:id="50"/>
    </w:p>
    <w:p w:rsidR="00617421" w:rsidRDefault="00617421" w:rsidP="00821026">
      <w:pPr>
        <w:pStyle w:val="Normalrglronly"/>
        <w:rPr>
          <w:b/>
        </w:rPr>
      </w:pPr>
    </w:p>
    <w:p w:rsidR="00617421" w:rsidRDefault="00617421" w:rsidP="00821026">
      <w:pPr>
        <w:pStyle w:val="Normalrglronly"/>
        <w:rPr>
          <w:b/>
        </w:rPr>
      </w:pPr>
      <w:r w:rsidRPr="004B1C12">
        <w:rPr>
          <w:b/>
        </w:rPr>
        <w:t>Commitment Text:</w:t>
      </w:r>
    </w:p>
    <w:p w:rsidR="00617421" w:rsidRDefault="00617421" w:rsidP="00821026">
      <w:pPr>
        <w:pStyle w:val="APQuotefeaturetol"/>
      </w:pPr>
      <w:r>
        <w:t>In cooperation with the civil sector, the State Audit Office plans to enhance citizen participation in the supervision process of public finances (public audit), that will build their trust in the State Audit Office.</w:t>
      </w:r>
    </w:p>
    <w:p w:rsidR="00617421" w:rsidRDefault="00617421" w:rsidP="00821026">
      <w:pPr>
        <w:pStyle w:val="APQuotefeaturetol"/>
      </w:pPr>
      <w:r>
        <w:t>At the initial stage a strategy will be drafted, in close cooperation with the civil sector. Considering the best practice of various countries, the strategy will provide mechanisms to ensure constructive citizen participation in the complete audit cycle, including the monitoring stage of recommendation implementation.</w:t>
      </w:r>
    </w:p>
    <w:p w:rsidR="00617421" w:rsidRDefault="00617421" w:rsidP="00821026">
      <w:pPr>
        <w:pStyle w:val="APQuotefeaturetol"/>
      </w:pPr>
      <w:r>
        <w:t>In addition, by means of an innovative ICT web platform mechanism, citizens will receive complete information about the state budget, public finance management, audit findings, given recommendations and the status of its implementation. Various methods of visualization will be applied to make information easily perceivable on the web-platform.</w:t>
      </w:r>
    </w:p>
    <w:p w:rsidR="00617421" w:rsidRDefault="00E60731" w:rsidP="00821026">
      <w:pPr>
        <w:pStyle w:val="APQuotefeaturetol"/>
      </w:pPr>
      <w:r>
        <w:t xml:space="preserve"> </w:t>
      </w:r>
      <w:r w:rsidR="00617421">
        <w:t>The web platform will form a channel for bilateral communication between the State Audit Office and citizens. On the one hand, citizens will become familiar with the information provided by the Audit Office, on the other hand, they will be able to notify the Office about a concrete malefaction, as well as the drawbacks of government services identified by them. Furthermore, citizens will be able to submit proposals based on professional surveys on the improvement of the identified shortcomings. The information received from a citizen will be analyzed and taken into consideration if recommended in the drafting and implementation process of the audit plan.</w:t>
      </w:r>
    </w:p>
    <w:p w:rsidR="00617421" w:rsidRDefault="00E60731" w:rsidP="00821026">
      <w:pPr>
        <w:pStyle w:val="APQuotefeaturetol"/>
      </w:pPr>
      <w:r>
        <w:t xml:space="preserve"> </w:t>
      </w:r>
      <w:r w:rsidR="00617421">
        <w:t>Citizens’ participation in the public audit process will raise public awareness on the budgetary processes and will rise their demand for transparent management of the public resources. Thorough information will improve the quality of citizen supervision of the governance processes.</w:t>
      </w:r>
    </w:p>
    <w:p w:rsidR="00617421" w:rsidRDefault="00617421" w:rsidP="00821026">
      <w:pPr>
        <w:rPr>
          <w:i/>
          <w:szCs w:val="22"/>
        </w:rPr>
      </w:pPr>
      <w:r w:rsidRPr="002E4B22">
        <w:rPr>
          <w:i/>
          <w:szCs w:val="22"/>
        </w:rPr>
        <w:t xml:space="preserve">Milestones: </w:t>
      </w:r>
    </w:p>
    <w:p w:rsidR="00617421" w:rsidRPr="003533B1" w:rsidRDefault="00617421" w:rsidP="00821026">
      <w:r w:rsidRPr="002E4B22">
        <w:rPr>
          <w:i/>
          <w:szCs w:val="22"/>
        </w:rPr>
        <w:t>Conducting public consultations with the representatives of civil sector for developing and improving various mechanisms of citizen participation in the public audit process</w:t>
      </w:r>
      <w:r w:rsidRPr="002E4B22">
        <w:rPr>
          <w:i/>
          <w:szCs w:val="22"/>
        </w:rPr>
        <w:br/>
        <w:t>Drafting the citizen participation strategy in the public audit process</w:t>
      </w:r>
      <w:r w:rsidRPr="002E4B22">
        <w:rPr>
          <w:i/>
          <w:szCs w:val="22"/>
        </w:rPr>
        <w:br/>
        <w:t>Finishing and approving the citizen participation strategy in the public audit process</w:t>
      </w:r>
      <w:r w:rsidRPr="002E4B22">
        <w:rPr>
          <w:i/>
          <w:szCs w:val="22"/>
        </w:rPr>
        <w:br/>
        <w:t>Defining the concept of webplatform and agreement with the representatives of civil sector</w:t>
      </w:r>
      <w:r w:rsidRPr="002E4B22">
        <w:rPr>
          <w:i/>
          <w:szCs w:val="22"/>
        </w:rPr>
        <w:br/>
        <w:t>Technical development of a webplatform and its presentation to the society</w:t>
      </w:r>
      <w:r w:rsidRPr="002E4B22">
        <w:rPr>
          <w:i/>
          <w:szCs w:val="22"/>
        </w:rPr>
        <w:br/>
        <w:t>At least 15 workshops with the representatives of the municipalitites, students and media  are organized by the State Audit Office to rise awareness on the right to request public information and webportal</w:t>
      </w:r>
      <w:r w:rsidRPr="002E4B22">
        <w:rPr>
          <w:i/>
          <w:szCs w:val="22"/>
        </w:rPr>
        <w:br/>
        <w:t>Shooting a short video on webplatform and its distribution through social media</w:t>
      </w:r>
    </w:p>
    <w:p w:rsidR="00617421" w:rsidRPr="007D07EA" w:rsidRDefault="00617421" w:rsidP="00821026"/>
    <w:p w:rsidR="00617421" w:rsidRPr="007D07EA" w:rsidRDefault="00617421" w:rsidP="00821026">
      <w:pPr>
        <w:pStyle w:val="Normalrglronly"/>
      </w:pPr>
      <w:r w:rsidRPr="007D07EA">
        <w:t>Responsible institution</w:t>
      </w:r>
      <w:r>
        <w:t>(s)</w:t>
      </w:r>
      <w:r w:rsidRPr="007D07EA">
        <w:t xml:space="preserve">: </w:t>
      </w:r>
      <w:r w:rsidRPr="007D07EA">
        <w:rPr>
          <w:noProof/>
        </w:rPr>
        <w:t>State Audit Office</w:t>
      </w:r>
    </w:p>
    <w:p w:rsidR="00617421" w:rsidRPr="007D07EA" w:rsidRDefault="00617421" w:rsidP="00821026">
      <w:pPr>
        <w:pStyle w:val="Normalrglronly"/>
      </w:pPr>
      <w:r w:rsidRPr="007D07EA">
        <w:t>Supporting institution(s): Advisory group comprising representatives of the State Audit Office and civil sector, working on the citizen participation issues in the public finance management supervision</w:t>
      </w:r>
    </w:p>
    <w:p w:rsidR="00617421" w:rsidRDefault="00617421" w:rsidP="00821026">
      <w:pPr>
        <w:pStyle w:val="Normalrglronly"/>
      </w:pPr>
      <w:r w:rsidRPr="004B1C12">
        <w:lastRenderedPageBreak/>
        <w:t xml:space="preserve">Start Date:      </w:t>
      </w:r>
      <w:r>
        <w:t>August 2016</w:t>
      </w:r>
      <w:r w:rsidRPr="004B1C12">
        <w:t xml:space="preserve">         End Date: </w:t>
      </w:r>
      <w:r>
        <w:t>December 2017</w:t>
      </w:r>
    </w:p>
    <w:p w:rsidR="00617421" w:rsidRDefault="00617421" w:rsidP="00821026">
      <w:pPr>
        <w:pStyle w:val="Normalrglronly"/>
      </w:pPr>
    </w:p>
    <w:tbl>
      <w:tblPr>
        <w:tblpPr w:leftFromText="180" w:rightFromText="180" w:vertAnchor="text" w:horzAnchor="page" w:tblpX="924" w:tblpY="412"/>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E60731" w:rsidRPr="006E7C15" w:rsidTr="00846D2A">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E60731" w:rsidRPr="006E7C15" w:rsidRDefault="00E60731" w:rsidP="00846D2A">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E60731" w:rsidRPr="006E7C15" w:rsidRDefault="00E60731" w:rsidP="00846D2A">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rsidR="00E60731" w:rsidRPr="006E7C15" w:rsidRDefault="00E60731" w:rsidP="00846D2A">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E60731" w:rsidRPr="006E7C15" w:rsidRDefault="00E60731" w:rsidP="00846D2A">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E60731" w:rsidRPr="006E7C15" w:rsidRDefault="00E60731" w:rsidP="00846D2A">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E60731" w:rsidRPr="006E7C15" w:rsidRDefault="00E60731" w:rsidP="00846D2A">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E60731" w:rsidRPr="006E7C15" w:rsidRDefault="00E60731" w:rsidP="00846D2A">
            <w:r w:rsidRPr="006E7C15">
              <w:t>Did It Open Government?</w:t>
            </w:r>
          </w:p>
        </w:tc>
      </w:tr>
      <w:tr w:rsidR="00E60731" w:rsidRPr="006E7C15" w:rsidTr="00846D2A">
        <w:trPr>
          <w:trHeight w:val="373"/>
        </w:trPr>
        <w:tc>
          <w:tcPr>
            <w:tcW w:w="1596" w:type="dxa"/>
            <w:vMerge/>
            <w:tcBorders>
              <w:left w:val="single" w:sz="4" w:space="0" w:color="FFFFFF"/>
              <w:right w:val="single" w:sz="18" w:space="0" w:color="FFFFFF"/>
            </w:tcBorders>
            <w:shd w:val="clear" w:color="auto" w:fill="000000"/>
            <w:vAlign w:val="center"/>
          </w:tcPr>
          <w:p w:rsidR="00E60731" w:rsidRPr="006E7C15" w:rsidRDefault="00E60731" w:rsidP="00846D2A">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E60731" w:rsidRPr="006E7C15" w:rsidRDefault="00E60731" w:rsidP="00846D2A"/>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rsidR="00E60731" w:rsidRPr="006E7C15" w:rsidRDefault="00E60731" w:rsidP="00846D2A"/>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E60731" w:rsidRPr="006E7C15" w:rsidRDefault="00E60731" w:rsidP="00846D2A"/>
        </w:tc>
        <w:tc>
          <w:tcPr>
            <w:tcW w:w="990" w:type="dxa"/>
            <w:gridSpan w:val="2"/>
            <w:vMerge/>
            <w:tcBorders>
              <w:left w:val="single" w:sz="18" w:space="0" w:color="FFFFFF"/>
              <w:bottom w:val="single" w:sz="18" w:space="0" w:color="FFFFFF"/>
              <w:right w:val="single" w:sz="2" w:space="0" w:color="FFFFFF"/>
            </w:tcBorders>
            <w:shd w:val="clear" w:color="auto" w:fill="B8CCE4"/>
          </w:tcPr>
          <w:p w:rsidR="00E60731" w:rsidRPr="006E7C15" w:rsidRDefault="00E60731" w:rsidP="00846D2A"/>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E60731" w:rsidRPr="006E7C15" w:rsidRDefault="00E60731" w:rsidP="00846D2A">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E60731" w:rsidRPr="006E7C15" w:rsidRDefault="00E60731" w:rsidP="00846D2A"/>
        </w:tc>
      </w:tr>
      <w:tr w:rsidR="00E60731" w:rsidRPr="006E7C15" w:rsidTr="00846D2A">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E60731" w:rsidRPr="006E7C15" w:rsidRDefault="00E60731" w:rsidP="00846D2A">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E60731" w:rsidRPr="006E7C15" w:rsidRDefault="00E60731" w:rsidP="00846D2A">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E60731" w:rsidRPr="006E7C15" w:rsidRDefault="00E60731" w:rsidP="00846D2A">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E60731" w:rsidRPr="006E7C15" w:rsidRDefault="00E60731" w:rsidP="00846D2A">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E60731" w:rsidRPr="006E7C15" w:rsidRDefault="00E60731" w:rsidP="00846D2A">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E60731" w:rsidRPr="006E7C15" w:rsidRDefault="00E60731" w:rsidP="00846D2A">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E60731" w:rsidRPr="006E7C15" w:rsidRDefault="00E60731" w:rsidP="00846D2A">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E60731" w:rsidRPr="006E7C15" w:rsidRDefault="00E60731" w:rsidP="00846D2A">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E60731" w:rsidRPr="006E7C15" w:rsidRDefault="00E60731" w:rsidP="00846D2A">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E60731" w:rsidRPr="006E7C15" w:rsidRDefault="00E60731" w:rsidP="00846D2A">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E60731" w:rsidRPr="006E7C15" w:rsidRDefault="00E60731" w:rsidP="00846D2A">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E60731" w:rsidRPr="006E7C15" w:rsidRDefault="00E60731" w:rsidP="00846D2A">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E60731" w:rsidRPr="006E7C15" w:rsidRDefault="00E60731" w:rsidP="00846D2A">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E60731" w:rsidRPr="006E7C15" w:rsidRDefault="00E60731" w:rsidP="00846D2A">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E60731" w:rsidRPr="006E7C15" w:rsidRDefault="00E60731" w:rsidP="00846D2A">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E60731" w:rsidRPr="006E7C15" w:rsidRDefault="00E60731" w:rsidP="00846D2A">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E60731" w:rsidRPr="006E7C15" w:rsidRDefault="00E60731" w:rsidP="00846D2A">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E60731" w:rsidRPr="006E7C15" w:rsidRDefault="00E60731" w:rsidP="00846D2A">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E60731" w:rsidRPr="006E7C15" w:rsidRDefault="00E60731" w:rsidP="00846D2A">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E60731" w:rsidRPr="006E7C15" w:rsidRDefault="00E60731" w:rsidP="00846D2A">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E60731" w:rsidRPr="006E7C15" w:rsidRDefault="00E60731" w:rsidP="00846D2A">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E60731" w:rsidRPr="006E7C15" w:rsidRDefault="00E60731" w:rsidP="00846D2A">
            <w:r w:rsidRPr="006E7C15">
              <w:t>Outstanding</w:t>
            </w:r>
          </w:p>
        </w:tc>
      </w:tr>
      <w:tr w:rsidR="00E60731" w:rsidRPr="006E7C15" w:rsidTr="00846D2A">
        <w:trPr>
          <w:trHeight w:val="974"/>
        </w:trPr>
        <w:tc>
          <w:tcPr>
            <w:tcW w:w="1596" w:type="dxa"/>
            <w:vMerge w:val="restart"/>
            <w:tcBorders>
              <w:top w:val="single" w:sz="18" w:space="0" w:color="FFFFFF"/>
              <w:left w:val="single" w:sz="4" w:space="0" w:color="FFFFFF"/>
            </w:tcBorders>
            <w:shd w:val="clear" w:color="auto" w:fill="000000"/>
            <w:vAlign w:val="center"/>
          </w:tcPr>
          <w:p w:rsidR="00E60731" w:rsidRPr="006E7C15" w:rsidRDefault="00E60731" w:rsidP="00846D2A">
            <w:pPr>
              <w:rPr>
                <w:color w:val="FFFFFF" w:themeColor="background1"/>
              </w:rPr>
            </w:pPr>
            <w:r w:rsidRPr="00505B0A">
              <w:rPr>
                <w:rFonts w:ascii="Segoe UI Symbol" w:hAnsi="Segoe UI Symbol" w:cs="Segoe UI Symbol"/>
                <w:color w:val="FFFFFF" w:themeColor="background1"/>
              </w:rPr>
              <w:t>✪</w:t>
            </w:r>
            <w:r w:rsidRPr="00296858">
              <w:rPr>
                <w:color w:val="FFFFFF" w:themeColor="background1"/>
              </w:rPr>
              <w:t xml:space="preserve">14. </w:t>
            </w:r>
            <w:r>
              <w:rPr>
                <w:color w:val="FFFFFF" w:themeColor="background1"/>
              </w:rPr>
              <w:t>C</w:t>
            </w:r>
            <w:r w:rsidRPr="00296858">
              <w:rPr>
                <w:color w:val="FFFFFF" w:themeColor="background1"/>
              </w:rPr>
              <w:t>itizen participation in supervision of public finances (public audit)</w:t>
            </w:r>
          </w:p>
        </w:tc>
        <w:tc>
          <w:tcPr>
            <w:tcW w:w="445" w:type="dxa"/>
            <w:vMerge w:val="restart"/>
            <w:tcBorders>
              <w:top w:val="single" w:sz="18" w:space="0" w:color="FFFFFF"/>
              <w:right w:val="single" w:sz="2" w:space="0" w:color="FFFFFF"/>
            </w:tcBorders>
            <w:shd w:val="clear" w:color="auto" w:fill="D6E3BC"/>
            <w:vAlign w:val="center"/>
          </w:tcPr>
          <w:p w:rsidR="00E60731" w:rsidRPr="006E7C15" w:rsidRDefault="00E60731" w:rsidP="00846D2A"/>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E60731" w:rsidRPr="006E7C15" w:rsidRDefault="00E60731" w:rsidP="00846D2A"/>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E60731" w:rsidRPr="006E7C15" w:rsidRDefault="00E60731" w:rsidP="00846D2A"/>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E60731" w:rsidRPr="006E7C15" w:rsidRDefault="00E60731" w:rsidP="00846D2A">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E60731" w:rsidRPr="006E7C15" w:rsidRDefault="00E60731" w:rsidP="00846D2A">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E60731" w:rsidRPr="006E7C15" w:rsidRDefault="00E60731" w:rsidP="00846D2A">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E60731" w:rsidRPr="006E7C15" w:rsidRDefault="00E60731" w:rsidP="00846D2A">
            <w:pPr>
              <w:jc w:val="center"/>
            </w:pPr>
            <w:r w:rsidRPr="006E7C15">
              <w:rPr>
                <w:rFonts w:ascii="MS Mincho" w:eastAsia="MS Mincho" w:hAnsi="MS Mincho" w:cs="MS Mincho"/>
                <w:sz w:val="20"/>
              </w:rPr>
              <w:t>✔</w:t>
            </w:r>
          </w:p>
        </w:tc>
        <w:tc>
          <w:tcPr>
            <w:tcW w:w="498" w:type="dxa"/>
            <w:vMerge w:val="restart"/>
            <w:tcBorders>
              <w:top w:val="single" w:sz="18" w:space="0" w:color="FFFFFF"/>
              <w:left w:val="single" w:sz="2" w:space="0" w:color="FFFFFF"/>
              <w:right w:val="single" w:sz="18" w:space="0" w:color="FFFFFF"/>
            </w:tcBorders>
            <w:shd w:val="clear" w:color="auto" w:fill="FBD4B4"/>
            <w:vAlign w:val="center"/>
          </w:tcPr>
          <w:p w:rsidR="00E60731" w:rsidRPr="006E7C15" w:rsidRDefault="00E60731" w:rsidP="00846D2A">
            <w:pPr>
              <w:jc w:val="center"/>
            </w:pPr>
            <w:r w:rsidRPr="006E7C15">
              <w:rPr>
                <w:rFonts w:ascii="MS Mincho" w:eastAsia="MS Mincho" w:hAnsi="MS Mincho" w:cs="MS Mincho"/>
                <w:sz w:val="20"/>
              </w:rPr>
              <w:t>✔</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E60731" w:rsidRPr="006E7C15" w:rsidRDefault="00E60731" w:rsidP="00846D2A"/>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E60731" w:rsidRPr="006E7C15" w:rsidRDefault="00E60731" w:rsidP="00846D2A"/>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E60731" w:rsidRPr="006E7C15" w:rsidRDefault="00E60731" w:rsidP="00846D2A"/>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E60731" w:rsidRPr="006E7C15" w:rsidRDefault="00E60731" w:rsidP="00846D2A">
            <w:r w:rsidRPr="006E7C15">
              <w:rPr>
                <w:rFonts w:ascii="MS Mincho" w:eastAsia="MS Mincho" w:hAnsi="MS Mincho" w:cs="MS Mincho"/>
                <w:sz w:val="20"/>
              </w:rPr>
              <w:t>✔</w:t>
            </w:r>
          </w:p>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E60731" w:rsidRPr="006E7C15" w:rsidRDefault="00E60731" w:rsidP="00846D2A"/>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E60731" w:rsidRPr="006E7C15" w:rsidRDefault="00E60731" w:rsidP="00846D2A"/>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E60731" w:rsidRPr="006E7C15" w:rsidRDefault="00E60731" w:rsidP="00846D2A"/>
        </w:tc>
        <w:tc>
          <w:tcPr>
            <w:tcW w:w="461" w:type="dxa"/>
            <w:tcBorders>
              <w:top w:val="single" w:sz="18" w:space="0" w:color="FFFFFF"/>
              <w:left w:val="single" w:sz="4" w:space="0" w:color="FFFFFF" w:themeColor="background1"/>
              <w:bottom w:val="single" w:sz="18" w:space="0" w:color="FFFFFF"/>
              <w:right w:val="single" w:sz="18" w:space="0" w:color="FFFFFF"/>
            </w:tcBorders>
            <w:shd w:val="clear" w:color="auto" w:fill="B8CCE4"/>
            <w:vAlign w:val="center"/>
          </w:tcPr>
          <w:p w:rsidR="00E60731" w:rsidRPr="006E7C15" w:rsidRDefault="00E60731" w:rsidP="00846D2A">
            <w:r w:rsidRPr="006E7C15">
              <w:rPr>
                <w:rFonts w:ascii="MS Mincho" w:eastAsia="MS Mincho" w:hAnsi="MS Mincho" w:cs="MS Mincho"/>
                <w:sz w:val="20"/>
              </w:rPr>
              <w:t>✔</w:t>
            </w:r>
          </w:p>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E60731" w:rsidRPr="006E7C15" w:rsidRDefault="00E60731" w:rsidP="00846D2A"/>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E60731" w:rsidRPr="006E7C15" w:rsidRDefault="00E60731" w:rsidP="00846D2A"/>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E60731" w:rsidRPr="006E7C15" w:rsidRDefault="00E60731" w:rsidP="00846D2A"/>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E60731" w:rsidRPr="006E7C15" w:rsidRDefault="00E60731" w:rsidP="00846D2A">
            <w:r w:rsidRPr="006E7C15">
              <w:rPr>
                <w:rFonts w:ascii="MS Mincho" w:eastAsia="MS Mincho" w:hAnsi="MS Mincho" w:cs="MS Mincho"/>
                <w:sz w:val="20"/>
              </w:rPr>
              <w:t>✔</w:t>
            </w:r>
          </w:p>
        </w:tc>
        <w:tc>
          <w:tcPr>
            <w:tcW w:w="343" w:type="dxa"/>
            <w:vMerge w:val="restart"/>
            <w:tcBorders>
              <w:top w:val="single" w:sz="18" w:space="0" w:color="FFFFFF"/>
              <w:left w:val="single" w:sz="2" w:space="0" w:color="FFFFFF"/>
              <w:right w:val="single" w:sz="18" w:space="0" w:color="FFFFFF"/>
            </w:tcBorders>
            <w:shd w:val="clear" w:color="auto" w:fill="D99594"/>
          </w:tcPr>
          <w:p w:rsidR="00E60731" w:rsidRPr="006E7C15" w:rsidRDefault="00E60731" w:rsidP="00846D2A"/>
        </w:tc>
      </w:tr>
      <w:tr w:rsidR="00E60731" w:rsidRPr="006E7C15" w:rsidTr="00846D2A">
        <w:trPr>
          <w:trHeight w:val="974"/>
        </w:trPr>
        <w:tc>
          <w:tcPr>
            <w:tcW w:w="1596" w:type="dxa"/>
            <w:vMerge/>
            <w:tcBorders>
              <w:left w:val="single" w:sz="4" w:space="0" w:color="FFFFFF"/>
            </w:tcBorders>
            <w:shd w:val="clear" w:color="auto" w:fill="000000"/>
            <w:vAlign w:val="center"/>
          </w:tcPr>
          <w:p w:rsidR="00E60731" w:rsidRPr="00505B0A" w:rsidRDefault="00E60731" w:rsidP="00846D2A">
            <w:pPr>
              <w:rPr>
                <w:rFonts w:ascii="Segoe UI Symbol" w:hAnsi="Segoe UI Symbol" w:cs="Segoe UI Symbol"/>
                <w:color w:val="FFFFFF" w:themeColor="background1"/>
              </w:rPr>
            </w:pPr>
          </w:p>
        </w:tc>
        <w:tc>
          <w:tcPr>
            <w:tcW w:w="445" w:type="dxa"/>
            <w:vMerge/>
            <w:tcBorders>
              <w:right w:val="single" w:sz="2" w:space="0" w:color="FFFFFF"/>
            </w:tcBorders>
            <w:shd w:val="clear" w:color="auto" w:fill="D6E3BC"/>
            <w:vAlign w:val="center"/>
          </w:tcPr>
          <w:p w:rsidR="00E60731" w:rsidRPr="006E7C15" w:rsidRDefault="00E60731" w:rsidP="00846D2A"/>
        </w:tc>
        <w:tc>
          <w:tcPr>
            <w:tcW w:w="451" w:type="dxa"/>
            <w:vMerge/>
            <w:tcBorders>
              <w:left w:val="single" w:sz="2" w:space="0" w:color="FFFFFF"/>
              <w:right w:val="single" w:sz="2" w:space="0" w:color="FFFFFF"/>
            </w:tcBorders>
            <w:shd w:val="clear" w:color="auto" w:fill="D6E3BC"/>
            <w:vAlign w:val="center"/>
          </w:tcPr>
          <w:p w:rsidR="00E60731" w:rsidRPr="006E7C15" w:rsidRDefault="00E60731" w:rsidP="00846D2A"/>
        </w:tc>
        <w:tc>
          <w:tcPr>
            <w:tcW w:w="362" w:type="dxa"/>
            <w:vMerge/>
            <w:tcBorders>
              <w:left w:val="single" w:sz="2" w:space="0" w:color="FFFFFF"/>
              <w:right w:val="single" w:sz="2" w:space="0" w:color="FFFFFF"/>
            </w:tcBorders>
            <w:shd w:val="clear" w:color="auto" w:fill="D6E3BC"/>
            <w:vAlign w:val="center"/>
          </w:tcPr>
          <w:p w:rsidR="00E60731" w:rsidRPr="006E7C15" w:rsidRDefault="00E60731" w:rsidP="00846D2A"/>
        </w:tc>
        <w:tc>
          <w:tcPr>
            <w:tcW w:w="363" w:type="dxa"/>
            <w:vMerge/>
            <w:tcBorders>
              <w:left w:val="single" w:sz="2" w:space="0" w:color="FFFFFF"/>
              <w:right w:val="single" w:sz="18" w:space="0" w:color="FFFFFF"/>
            </w:tcBorders>
            <w:shd w:val="clear" w:color="auto" w:fill="D6E3BC"/>
            <w:vAlign w:val="center"/>
          </w:tcPr>
          <w:p w:rsidR="00E60731" w:rsidRPr="006E7C15" w:rsidRDefault="00E60731" w:rsidP="00846D2A">
            <w:pP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rsidR="00E60731" w:rsidRPr="006E7C15" w:rsidRDefault="00E60731" w:rsidP="00846D2A">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rsidR="00E60731" w:rsidRPr="006E7C15" w:rsidRDefault="00E60731" w:rsidP="00846D2A">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rsidR="00E60731" w:rsidRPr="006E7C15" w:rsidRDefault="00E60731" w:rsidP="00846D2A">
            <w:pPr>
              <w:jc w:val="center"/>
              <w:rPr>
                <w:rFonts w:ascii="MS Mincho" w:eastAsia="MS Mincho" w:hAnsi="MS Mincho" w:cs="MS Mincho"/>
                <w:sz w:val="20"/>
              </w:rPr>
            </w:pPr>
          </w:p>
        </w:tc>
        <w:tc>
          <w:tcPr>
            <w:tcW w:w="498" w:type="dxa"/>
            <w:vMerge/>
            <w:tcBorders>
              <w:left w:val="single" w:sz="2" w:space="0" w:color="FFFFFF"/>
              <w:right w:val="single" w:sz="18" w:space="0" w:color="FFFFFF"/>
            </w:tcBorders>
            <w:shd w:val="clear" w:color="auto" w:fill="FBD4B4"/>
            <w:vAlign w:val="center"/>
          </w:tcPr>
          <w:p w:rsidR="00E60731" w:rsidRPr="006E7C15" w:rsidRDefault="00E60731" w:rsidP="00846D2A">
            <w:pPr>
              <w:jc w:val="center"/>
              <w:rPr>
                <w:rFonts w:ascii="MS Mincho" w:eastAsia="MS Mincho" w:hAnsi="MS Mincho" w:cs="MS Mincho"/>
                <w:sz w:val="20"/>
              </w:rPr>
            </w:pPr>
          </w:p>
        </w:tc>
        <w:tc>
          <w:tcPr>
            <w:tcW w:w="450" w:type="dxa"/>
            <w:vMerge/>
            <w:tcBorders>
              <w:left w:val="single" w:sz="18" w:space="0" w:color="FFFFFF"/>
              <w:right w:val="single" w:sz="2" w:space="0" w:color="FFFFFF"/>
            </w:tcBorders>
            <w:shd w:val="clear" w:color="auto" w:fill="CCC0D9"/>
            <w:vAlign w:val="center"/>
          </w:tcPr>
          <w:p w:rsidR="00E60731" w:rsidRPr="006E7C15" w:rsidRDefault="00E60731" w:rsidP="00846D2A"/>
        </w:tc>
        <w:tc>
          <w:tcPr>
            <w:tcW w:w="360" w:type="dxa"/>
            <w:vMerge/>
            <w:tcBorders>
              <w:left w:val="single" w:sz="2" w:space="0" w:color="FFFFFF"/>
              <w:right w:val="single" w:sz="2" w:space="0" w:color="FFFFFF"/>
            </w:tcBorders>
            <w:shd w:val="clear" w:color="auto" w:fill="CCC0D9"/>
            <w:vAlign w:val="center"/>
          </w:tcPr>
          <w:p w:rsidR="00E60731" w:rsidRPr="006E7C15" w:rsidRDefault="00E60731" w:rsidP="00846D2A"/>
        </w:tc>
        <w:tc>
          <w:tcPr>
            <w:tcW w:w="450" w:type="dxa"/>
            <w:vMerge/>
            <w:tcBorders>
              <w:left w:val="single" w:sz="2" w:space="0" w:color="FFFFFF"/>
              <w:right w:val="single" w:sz="2" w:space="0" w:color="FFFFFF"/>
            </w:tcBorders>
            <w:shd w:val="clear" w:color="auto" w:fill="CCC0D9"/>
            <w:vAlign w:val="center"/>
          </w:tcPr>
          <w:p w:rsidR="00E60731" w:rsidRPr="006E7C15" w:rsidRDefault="00E60731" w:rsidP="00846D2A"/>
        </w:tc>
        <w:tc>
          <w:tcPr>
            <w:tcW w:w="360" w:type="dxa"/>
            <w:vMerge/>
            <w:tcBorders>
              <w:left w:val="single" w:sz="2" w:space="0" w:color="FFFFFF"/>
              <w:right w:val="single" w:sz="18" w:space="0" w:color="FFFFFF"/>
            </w:tcBorders>
            <w:shd w:val="clear" w:color="auto" w:fill="CCC0D9"/>
            <w:vAlign w:val="center"/>
          </w:tcPr>
          <w:p w:rsidR="00E60731" w:rsidRPr="006E7C15" w:rsidRDefault="00E60731" w:rsidP="00846D2A">
            <w:pPr>
              <w:rPr>
                <w:rFonts w:ascii="MS Mincho" w:eastAsia="MS Mincho" w:hAnsi="MS Mincho" w:cs="MS Mincho"/>
                <w:sz w:val="20"/>
              </w:rPr>
            </w:pPr>
          </w:p>
        </w:tc>
        <w:tc>
          <w:tcPr>
            <w:tcW w:w="540" w:type="dxa"/>
            <w:vMerge/>
            <w:tcBorders>
              <w:left w:val="single" w:sz="18" w:space="0" w:color="FFFFFF"/>
              <w:right w:val="single" w:sz="4" w:space="0" w:color="FFFFFF" w:themeColor="background1"/>
            </w:tcBorders>
            <w:shd w:val="clear" w:color="auto" w:fill="B8CCE4"/>
            <w:vAlign w:val="center"/>
          </w:tcPr>
          <w:p w:rsidR="00E60731" w:rsidRPr="006E7C15" w:rsidRDefault="00E60731" w:rsidP="00846D2A"/>
        </w:tc>
        <w:tc>
          <w:tcPr>
            <w:tcW w:w="450" w:type="dxa"/>
            <w:vMerge/>
            <w:tcBorders>
              <w:left w:val="single" w:sz="4" w:space="0" w:color="FFFFFF" w:themeColor="background1"/>
              <w:right w:val="single" w:sz="4" w:space="0" w:color="FFFFFF" w:themeColor="background1"/>
            </w:tcBorders>
            <w:shd w:val="clear" w:color="auto" w:fill="B8CCE4"/>
            <w:vAlign w:val="center"/>
          </w:tcPr>
          <w:p w:rsidR="00E60731" w:rsidRPr="006E7C15" w:rsidRDefault="00E60731" w:rsidP="00846D2A"/>
        </w:tc>
        <w:tc>
          <w:tcPr>
            <w:tcW w:w="630" w:type="dxa"/>
            <w:vMerge/>
            <w:tcBorders>
              <w:left w:val="single" w:sz="4" w:space="0" w:color="FFFFFF" w:themeColor="background1"/>
              <w:right w:val="single" w:sz="4" w:space="0" w:color="FFFFFF" w:themeColor="background1"/>
            </w:tcBorders>
            <w:shd w:val="clear" w:color="auto" w:fill="B8CCE4"/>
            <w:vAlign w:val="center"/>
          </w:tcPr>
          <w:p w:rsidR="00E60731" w:rsidRPr="006E7C15" w:rsidRDefault="00E60731" w:rsidP="00846D2A"/>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E60731" w:rsidRPr="006E7C15" w:rsidRDefault="00E60731" w:rsidP="00846D2A">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rsidR="00E60731" w:rsidRPr="006E7C15" w:rsidRDefault="00E60731" w:rsidP="00846D2A"/>
        </w:tc>
        <w:tc>
          <w:tcPr>
            <w:tcW w:w="540" w:type="dxa"/>
            <w:vMerge/>
            <w:tcBorders>
              <w:left w:val="single" w:sz="2" w:space="0" w:color="FFFFFF"/>
              <w:right w:val="single" w:sz="2" w:space="0" w:color="FFFFFF"/>
            </w:tcBorders>
            <w:shd w:val="clear" w:color="auto" w:fill="D99594"/>
            <w:vAlign w:val="center"/>
          </w:tcPr>
          <w:p w:rsidR="00E60731" w:rsidRPr="006E7C15" w:rsidRDefault="00E60731" w:rsidP="00846D2A"/>
        </w:tc>
        <w:tc>
          <w:tcPr>
            <w:tcW w:w="476" w:type="dxa"/>
            <w:vMerge/>
            <w:tcBorders>
              <w:left w:val="single" w:sz="2" w:space="0" w:color="FFFFFF"/>
              <w:right w:val="single" w:sz="2" w:space="0" w:color="FFFFFF"/>
            </w:tcBorders>
            <w:shd w:val="clear" w:color="auto" w:fill="D99594"/>
            <w:vAlign w:val="center"/>
          </w:tcPr>
          <w:p w:rsidR="00E60731" w:rsidRPr="006E7C15" w:rsidRDefault="00E60731" w:rsidP="00846D2A"/>
        </w:tc>
        <w:tc>
          <w:tcPr>
            <w:tcW w:w="342" w:type="dxa"/>
            <w:vMerge/>
            <w:tcBorders>
              <w:left w:val="single" w:sz="2" w:space="0" w:color="FFFFFF"/>
              <w:right w:val="single" w:sz="2" w:space="0" w:color="FFFFFF"/>
            </w:tcBorders>
            <w:shd w:val="clear" w:color="auto" w:fill="D99594"/>
            <w:vAlign w:val="center"/>
          </w:tcPr>
          <w:p w:rsidR="00E60731" w:rsidRPr="006E7C15" w:rsidRDefault="00E60731" w:rsidP="00846D2A">
            <w:pPr>
              <w:rPr>
                <w:rFonts w:ascii="MS Mincho" w:eastAsia="MS Mincho" w:hAnsi="MS Mincho" w:cs="MS Mincho"/>
                <w:sz w:val="20"/>
              </w:rPr>
            </w:pPr>
          </w:p>
        </w:tc>
        <w:tc>
          <w:tcPr>
            <w:tcW w:w="343" w:type="dxa"/>
            <w:vMerge/>
            <w:tcBorders>
              <w:left w:val="single" w:sz="2" w:space="0" w:color="FFFFFF"/>
              <w:right w:val="single" w:sz="18" w:space="0" w:color="FFFFFF"/>
            </w:tcBorders>
            <w:shd w:val="clear" w:color="auto" w:fill="D99594"/>
          </w:tcPr>
          <w:p w:rsidR="00E60731" w:rsidRPr="006E7C15" w:rsidRDefault="00E60731" w:rsidP="00846D2A"/>
        </w:tc>
      </w:tr>
    </w:tbl>
    <w:p w:rsidR="00E60731" w:rsidRDefault="00E60731" w:rsidP="00821026">
      <w:pPr>
        <w:pStyle w:val="Normalrglronly"/>
      </w:pPr>
    </w:p>
    <w:p w:rsidR="00617421" w:rsidRPr="0010229D" w:rsidRDefault="00617421" w:rsidP="00FE5928">
      <w:pPr>
        <w:pStyle w:val="Heading3"/>
      </w:pPr>
      <w:bookmarkStart w:id="51" w:name="_Toc525759434"/>
      <w:r w:rsidRPr="0010229D">
        <w:t xml:space="preserve">Commitment </w:t>
      </w:r>
      <w:r w:rsidRPr="004B1C12">
        <w:t>A</w:t>
      </w:r>
      <w:r w:rsidRPr="0010229D">
        <w:t>im:</w:t>
      </w:r>
      <w:bookmarkEnd w:id="51"/>
    </w:p>
    <w:p w:rsidR="00617421" w:rsidRDefault="00617421" w:rsidP="00F728DD">
      <w:pPr>
        <w:pStyle w:val="Normalrglronly"/>
      </w:pPr>
      <w:bookmarkStart w:id="52" w:name="_Toc525759435"/>
      <w:r>
        <w:t xml:space="preserve">In order to increase transparency and accountability of public finances and involve citizens in decision making, the State Audit Office (SAO) </w:t>
      </w:r>
      <w:r w:rsidR="00005313">
        <w:t xml:space="preserve">made </w:t>
      </w:r>
      <w:r>
        <w:t xml:space="preserve">a commitment to establish a web platform </w:t>
      </w:r>
      <w:r w:rsidRPr="001D1928">
        <w:t>Budgetmonitor.ge</w:t>
      </w:r>
      <w:r>
        <w:t>. Through its platform, the SAO’s aim was to</w:t>
      </w:r>
      <w:r w:rsidR="00F728DD">
        <w:t xml:space="preserve"> p</w:t>
      </w:r>
      <w:r>
        <w:t xml:space="preserve">resent up to date information on state and municipal budgets in an easily understandable manner; </w:t>
      </w:r>
      <w:r w:rsidR="00F728DD">
        <w:t xml:space="preserve">publish </w:t>
      </w:r>
      <w:r>
        <w:t xml:space="preserve">audit report findings in user-friendly format; </w:t>
      </w:r>
      <w:r w:rsidR="00F728DD">
        <w:t>a</w:t>
      </w:r>
      <w:r>
        <w:t>llow citizens to select budget priority areas to be audited by SAO</w:t>
      </w:r>
      <w:r w:rsidR="00F728DD">
        <w:t xml:space="preserve"> and g</w:t>
      </w:r>
      <w:r>
        <w:t xml:space="preserve">ive citizens opportunity to report alleged cases of corruption confidentially or anonymously. </w:t>
      </w:r>
    </w:p>
    <w:p w:rsidR="00617421" w:rsidRPr="0010229D" w:rsidRDefault="00617421" w:rsidP="00FE5928">
      <w:pPr>
        <w:pStyle w:val="Heading3"/>
      </w:pPr>
      <w:r w:rsidRPr="0010229D">
        <w:t>Status</w:t>
      </w:r>
      <w:bookmarkEnd w:id="52"/>
    </w:p>
    <w:p w:rsidR="00617421" w:rsidRPr="004B1C12" w:rsidRDefault="00617421" w:rsidP="00821026">
      <w:pPr>
        <w:pStyle w:val="Normalrglronly"/>
        <w:rPr>
          <w:b/>
        </w:rPr>
      </w:pPr>
      <w:r w:rsidRPr="004B1C12">
        <w:rPr>
          <w:b/>
        </w:rPr>
        <w:t xml:space="preserve">Midterm: </w:t>
      </w:r>
      <w:r w:rsidRPr="004B1C12">
        <w:rPr>
          <w:b/>
          <w:color w:val="000000" w:themeColor="text1"/>
        </w:rPr>
        <w:t>Complete</w:t>
      </w:r>
    </w:p>
    <w:p w:rsidR="00617421" w:rsidRPr="00505C1E" w:rsidRDefault="00617421" w:rsidP="00821026">
      <w:pPr>
        <w:pStyle w:val="Normalrglronly"/>
        <w:rPr>
          <w:color w:val="auto"/>
        </w:rPr>
      </w:pPr>
      <w:r w:rsidRPr="00904CAB">
        <w:rPr>
          <w:color w:val="auto"/>
        </w:rPr>
        <w:t>The commitment was fully implemented as of September 2017. SAO formed a working group with CSO involvem</w:t>
      </w:r>
      <w:r>
        <w:rPr>
          <w:color w:val="auto"/>
        </w:rPr>
        <w:t>ent, conducted 14 focus groups to identify end-user</w:t>
      </w:r>
      <w:r w:rsidRPr="00904CAB">
        <w:rPr>
          <w:color w:val="auto"/>
        </w:rPr>
        <w:t xml:space="preserve"> preferences, and launched the platform in March 2017. </w:t>
      </w:r>
      <w:r w:rsidRPr="001D1928">
        <w:rPr>
          <w:color w:val="auto"/>
        </w:rPr>
        <w:t>Budgetmonitor.g</w:t>
      </w:r>
      <w:r>
        <w:rPr>
          <w:i/>
          <w:color w:val="auto"/>
        </w:rPr>
        <w:t>e</w:t>
      </w:r>
      <w:r w:rsidRPr="00904CAB">
        <w:rPr>
          <w:i/>
          <w:color w:val="auto"/>
        </w:rPr>
        <w:t xml:space="preserve"> </w:t>
      </w:r>
      <w:r w:rsidRPr="00904CAB">
        <w:rPr>
          <w:color w:val="auto"/>
        </w:rPr>
        <w:t xml:space="preserve">offers different modules such as “State Budget”, “Municipal Budget”, “Audits”, “Citizen Page”, and more. By the midterm, SAO conducted 13 out of 15 meetings around Georgia as indicated in the commitment text aimed at awareness raising of the portal.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sidRPr="00796370">
        <w:rPr>
          <w:rStyle w:val="EndnoteReference"/>
          <w:color w:val="auto"/>
        </w:rPr>
        <w:t xml:space="preserve"> </w:t>
      </w:r>
      <w:r>
        <w:rPr>
          <w:rStyle w:val="EndnoteReference"/>
          <w:color w:val="auto"/>
        </w:rPr>
        <w:endnoteReference w:id="49"/>
      </w:r>
      <w:r w:rsidRPr="0010229D">
        <w:rPr>
          <w:i/>
          <w:color w:val="4F81BD" w:themeColor="accent1"/>
        </w:rPr>
        <w:t> </w:t>
      </w:r>
    </w:p>
    <w:p w:rsidR="00617421"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rsidR="00617421" w:rsidRDefault="00617421" w:rsidP="00821026">
      <w:pPr>
        <w:pStyle w:val="Normalrglronly"/>
        <w:rPr>
          <w:color w:val="000000" w:themeColor="text1"/>
        </w:rPr>
      </w:pPr>
      <w:r>
        <w:rPr>
          <w:color w:val="000000" w:themeColor="text1"/>
        </w:rPr>
        <w:t xml:space="preserve">After the midterm, SAO conducted numerous meetings with different target groups in order to raise awareness about the portal, including meetings with different committees of the Parliament (MPs and their staff), media representatives, students, and others. In total, 11 </w:t>
      </w:r>
      <w:r>
        <w:rPr>
          <w:color w:val="000000" w:themeColor="text1"/>
        </w:rPr>
        <w:lastRenderedPageBreak/>
        <w:t>meetings were conducted where SAO presented the platform.</w:t>
      </w:r>
      <w:r>
        <w:rPr>
          <w:rStyle w:val="EndnoteReference"/>
          <w:color w:val="000000" w:themeColor="text1"/>
        </w:rPr>
        <w:endnoteReference w:id="50"/>
      </w:r>
      <w:r>
        <w:rPr>
          <w:color w:val="000000" w:themeColor="text1"/>
        </w:rPr>
        <w:t xml:space="preserve"> Additionally, with the help of the USAID SAO c</w:t>
      </w:r>
      <w:r w:rsidR="00F728DD">
        <w:rPr>
          <w:color w:val="000000" w:themeColor="text1"/>
        </w:rPr>
        <w:t>arried out</w:t>
      </w:r>
      <w:r>
        <w:rPr>
          <w:color w:val="000000" w:themeColor="text1"/>
        </w:rPr>
        <w:t xml:space="preserve"> research to collect feedback from </w:t>
      </w:r>
      <w:r w:rsidRPr="001D1928">
        <w:rPr>
          <w:color w:val="000000" w:themeColor="text1"/>
        </w:rPr>
        <w:t>Budgetmonitor.ge</w:t>
      </w:r>
      <w:r>
        <w:rPr>
          <w:color w:val="000000" w:themeColor="text1"/>
        </w:rPr>
        <w:t xml:space="preserve"> users on the deficiencies and possible improvements of the portal. SAO also hired an external consultant to study current situation and develop an outreach strategy to further popularize the web-platform.</w:t>
      </w:r>
      <w:r>
        <w:rPr>
          <w:rStyle w:val="EndnoteReference"/>
          <w:color w:val="000000" w:themeColor="text1"/>
        </w:rPr>
        <w:endnoteReference w:id="51"/>
      </w:r>
      <w:r>
        <w:rPr>
          <w:color w:val="000000" w:themeColor="text1"/>
        </w:rPr>
        <w:t xml:space="preserve">  </w:t>
      </w:r>
    </w:p>
    <w:p w:rsidR="00617421" w:rsidRPr="0010229D" w:rsidRDefault="00617421" w:rsidP="00FE5928">
      <w:pPr>
        <w:pStyle w:val="Heading3"/>
      </w:pPr>
      <w:bookmarkStart w:id="53" w:name="_Toc525759436"/>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53"/>
    </w:p>
    <w:p w:rsidR="00617421" w:rsidRPr="004B1C12" w:rsidRDefault="00617421" w:rsidP="00821026">
      <w:pPr>
        <w:rPr>
          <w:b/>
          <w:color w:val="000000" w:themeColor="text1"/>
        </w:rPr>
      </w:pPr>
      <w:r w:rsidRPr="004B1C12">
        <w:rPr>
          <w:b/>
          <w:color w:val="000000" w:themeColor="text1"/>
        </w:rPr>
        <w:t>Access to Information: Major</w:t>
      </w:r>
    </w:p>
    <w:p w:rsidR="00617421" w:rsidRPr="004B1C12" w:rsidRDefault="00617421" w:rsidP="00821026">
      <w:pPr>
        <w:rPr>
          <w:b/>
          <w:color w:val="000000" w:themeColor="text1"/>
        </w:rPr>
      </w:pPr>
      <w:r w:rsidRPr="004B1C12">
        <w:rPr>
          <w:b/>
          <w:color w:val="000000" w:themeColor="text1"/>
        </w:rPr>
        <w:t>Civic Participation: Marginal</w:t>
      </w:r>
    </w:p>
    <w:p w:rsidR="00617421" w:rsidRDefault="00617421" w:rsidP="00821026">
      <w:pPr>
        <w:rPr>
          <w:b/>
          <w:color w:val="000000" w:themeColor="text1"/>
        </w:rPr>
      </w:pPr>
      <w:r w:rsidRPr="004B1C12">
        <w:rPr>
          <w:b/>
          <w:color w:val="000000" w:themeColor="text1"/>
        </w:rPr>
        <w:t>Public Accountability: Marginal</w:t>
      </w:r>
    </w:p>
    <w:p w:rsidR="00246B18" w:rsidRPr="00821026" w:rsidRDefault="00246B18" w:rsidP="00821026">
      <w:pPr>
        <w:rPr>
          <w:b/>
          <w:color w:val="00B050"/>
        </w:rPr>
      </w:pPr>
    </w:p>
    <w:p w:rsidR="00617421" w:rsidRDefault="00246B18" w:rsidP="00821026">
      <w:pPr>
        <w:rPr>
          <w:rFonts w:eastAsiaTheme="minorHAnsi"/>
          <w:lang w:val="en-GB"/>
        </w:rPr>
      </w:pPr>
      <w:r>
        <w:rPr>
          <w:color w:val="000000" w:themeColor="text1"/>
        </w:rPr>
        <w:t>Since launching of the platform, SAO estimates more than 15, 000 unique visitors, with monthly average of 400-500 unique users. SAO’s current efforts are directed at increasing the number of returning users.</w:t>
      </w:r>
      <w:r>
        <w:rPr>
          <w:rStyle w:val="EndnoteReference"/>
          <w:color w:val="000000" w:themeColor="text1"/>
        </w:rPr>
        <w:endnoteReference w:id="52"/>
      </w:r>
      <w:r>
        <w:rPr>
          <w:color w:val="000000" w:themeColor="text1"/>
        </w:rPr>
        <w:t xml:space="preserve"> </w:t>
      </w:r>
      <w:r>
        <w:t xml:space="preserve">The platform contains multiple features, </w:t>
      </w:r>
      <w:r w:rsidR="00617421">
        <w:t xml:space="preserve">including information modules, corruption reporting module, and audit planning module. </w:t>
      </w:r>
      <w:r w:rsidR="00586233">
        <w:t xml:space="preserve">According to end-users of the platform, Budgetmonitor.ge simplified access to basic data on </w:t>
      </w:r>
      <w:r w:rsidR="00617421">
        <w:t>state budget, financial details of the Legal Entities of Public Law, and municipal budget</w:t>
      </w:r>
      <w:r w:rsidR="00586233">
        <w:t xml:space="preserve"> among others.</w:t>
      </w:r>
      <w:r w:rsidR="001761EE">
        <w:rPr>
          <w:rStyle w:val="EndnoteReference"/>
        </w:rPr>
        <w:endnoteReference w:id="53"/>
      </w:r>
      <w:r w:rsidR="00586233">
        <w:t xml:space="preserve"> </w:t>
      </w:r>
      <w:r w:rsidR="000B3D1D">
        <w:t>CSOs positively assess the simplicity of presented data</w:t>
      </w:r>
      <w:r w:rsidR="00586233">
        <w:t>, as well as general user-friendly interface of the platform.</w:t>
      </w:r>
      <w:r w:rsidR="008815D4">
        <w:rPr>
          <w:rStyle w:val="EndnoteReference"/>
        </w:rPr>
        <w:endnoteReference w:id="54"/>
      </w:r>
      <w:r w:rsidR="003F59EB">
        <w:t xml:space="preserve"> </w:t>
      </w:r>
    </w:p>
    <w:p w:rsidR="009F60B1" w:rsidRDefault="00FE049E" w:rsidP="00FE049E">
      <w:pPr>
        <w:pStyle w:val="CommentText"/>
        <w:rPr>
          <w:rFonts w:eastAsiaTheme="minorHAnsi"/>
          <w:sz w:val="22"/>
          <w:szCs w:val="20"/>
          <w:lang w:val="en-GB"/>
        </w:rPr>
      </w:pPr>
      <w:r>
        <w:rPr>
          <w:rFonts w:eastAsiaTheme="minorHAnsi"/>
          <w:sz w:val="22"/>
          <w:szCs w:val="20"/>
          <w:lang w:val="en-GB"/>
        </w:rPr>
        <w:t>Much</w:t>
      </w:r>
      <w:r w:rsidR="009F60B1" w:rsidRPr="009F60B1">
        <w:rPr>
          <w:rFonts w:eastAsiaTheme="minorHAnsi"/>
          <w:sz w:val="22"/>
          <w:szCs w:val="20"/>
          <w:lang w:val="en-GB"/>
        </w:rPr>
        <w:t xml:space="preserve"> of the information on the platform including state budget, municipal budgets, and audit findings was public prior to launching the platform. However, the information was provided in a form of approved budget (in its legal form) or in form of audit reports, which</w:t>
      </w:r>
      <w:r>
        <w:rPr>
          <w:rFonts w:eastAsiaTheme="minorHAnsi"/>
          <w:sz w:val="22"/>
          <w:szCs w:val="20"/>
          <w:lang w:val="en-GB"/>
        </w:rPr>
        <w:t xml:space="preserve"> was challenging to understand, </w:t>
      </w:r>
      <w:r w:rsidR="009F60B1" w:rsidRPr="009F60B1">
        <w:rPr>
          <w:rFonts w:eastAsiaTheme="minorHAnsi"/>
          <w:sz w:val="22"/>
          <w:szCs w:val="20"/>
          <w:lang w:val="en-GB"/>
        </w:rPr>
        <w:t>especial</w:t>
      </w:r>
      <w:r>
        <w:rPr>
          <w:rFonts w:eastAsiaTheme="minorHAnsi"/>
          <w:sz w:val="22"/>
          <w:szCs w:val="20"/>
          <w:lang w:val="en-GB"/>
        </w:rPr>
        <w:t>ly in case of municipal budgets</w:t>
      </w:r>
      <w:r w:rsidR="009F60B1" w:rsidRPr="009F60B1">
        <w:rPr>
          <w:rFonts w:eastAsiaTheme="minorHAnsi"/>
          <w:sz w:val="22"/>
          <w:szCs w:val="20"/>
          <w:lang w:val="en-GB"/>
        </w:rPr>
        <w:t>. The platform</w:t>
      </w:r>
      <w:r w:rsidR="00122363">
        <w:rPr>
          <w:rFonts w:eastAsiaTheme="minorHAnsi"/>
          <w:sz w:val="22"/>
          <w:szCs w:val="20"/>
          <w:lang w:val="en-GB"/>
        </w:rPr>
        <w:t xml:space="preserve"> represents</w:t>
      </w:r>
      <w:r w:rsidR="009F60B1" w:rsidRPr="009F60B1">
        <w:rPr>
          <w:rFonts w:eastAsiaTheme="minorHAnsi"/>
          <w:sz w:val="22"/>
          <w:szCs w:val="20"/>
          <w:lang w:val="en-GB"/>
        </w:rPr>
        <w:t xml:space="preserve"> </w:t>
      </w:r>
      <w:r w:rsidR="00122363">
        <w:rPr>
          <w:rFonts w:eastAsiaTheme="minorHAnsi"/>
          <w:sz w:val="22"/>
          <w:szCs w:val="20"/>
          <w:lang w:val="en-GB"/>
        </w:rPr>
        <w:t xml:space="preserve">a </w:t>
      </w:r>
      <w:r w:rsidR="009F60B1" w:rsidRPr="009F60B1">
        <w:rPr>
          <w:rFonts w:eastAsiaTheme="minorHAnsi"/>
          <w:sz w:val="22"/>
          <w:szCs w:val="20"/>
          <w:lang w:val="en-GB"/>
        </w:rPr>
        <w:t xml:space="preserve">big step towards 1) simplifying the information by presenting it using visualizations, 2) making it more accessible to the public – now all of the abovementioned data is combined on a single platform (e.g. one no longer needs to visit separate municipal pages, some of which are not functioning, and others are hard to navigate). </w:t>
      </w:r>
    </w:p>
    <w:p w:rsidR="00246B18" w:rsidRDefault="00246B18" w:rsidP="00FE049E">
      <w:pPr>
        <w:pStyle w:val="CommentText"/>
        <w:rPr>
          <w:rFonts w:eastAsiaTheme="minorHAnsi"/>
          <w:b/>
          <w:sz w:val="22"/>
          <w:szCs w:val="20"/>
          <w:lang w:val="en-GB"/>
        </w:rPr>
      </w:pPr>
    </w:p>
    <w:p w:rsidR="00246B18" w:rsidRDefault="00246B18" w:rsidP="00246B18">
      <w:pPr>
        <w:rPr>
          <w:rFonts w:eastAsiaTheme="minorHAnsi"/>
          <w:lang w:val="en-GB"/>
        </w:rPr>
      </w:pPr>
      <w:r>
        <w:rPr>
          <w:rFonts w:eastAsiaTheme="minorHAnsi"/>
          <w:lang w:val="en-GB"/>
        </w:rPr>
        <w:t xml:space="preserve">The “Citizen Page” offers the ability to provide suggestions of government bodies to audit as part of the following year’s Annual Audit Plan or to select priority areas to be examined– both features providing platform for citizen participation. While the platform offers citizen a direct opportunity to get involved in audit planning and corruption reporting, based on statistics to date, there is still low level of citizen participation. </w:t>
      </w:r>
    </w:p>
    <w:p w:rsidR="000B3D1D" w:rsidRDefault="000B3D1D" w:rsidP="00821026">
      <w:pPr>
        <w:rPr>
          <w:rFonts w:eastAsiaTheme="minorHAnsi"/>
          <w:lang w:val="en-GB"/>
        </w:rPr>
      </w:pPr>
    </w:p>
    <w:p w:rsidR="00246B18" w:rsidRPr="00246B18" w:rsidRDefault="00246B18" w:rsidP="00246B18">
      <w:pPr>
        <w:pStyle w:val="Normalrglronly"/>
        <w:rPr>
          <w:rFonts w:eastAsiaTheme="minorHAnsi"/>
          <w:lang w:val="en-GB"/>
        </w:rPr>
      </w:pPr>
      <w:r>
        <w:rPr>
          <w:rFonts w:eastAsiaTheme="minorHAnsi"/>
          <w:lang w:val="en-GB"/>
        </w:rPr>
        <w:t xml:space="preserve">The “Fight Corruption” module of the platform allows citizens to report alleged cases of corruption, which are further studied by a specific auditor, which gives citizens a mechanism to hold the government accountable. </w:t>
      </w:r>
      <w:r w:rsidR="001761EE">
        <w:rPr>
          <w:rFonts w:eastAsiaTheme="minorHAnsi"/>
          <w:lang w:val="en-GB"/>
        </w:rPr>
        <w:t>According to CSOs, the creation of the platform in its current form is already an indicator of a strong political will to increase accountability</w:t>
      </w:r>
      <w:r w:rsidR="008815D4">
        <w:rPr>
          <w:rFonts w:eastAsiaTheme="minorHAnsi"/>
          <w:lang w:val="en-GB"/>
        </w:rPr>
        <w:t>.</w:t>
      </w:r>
      <w:r w:rsidR="008815D4">
        <w:rPr>
          <w:rStyle w:val="EndnoteReference"/>
          <w:rFonts w:eastAsiaTheme="minorHAnsi"/>
          <w:lang w:val="en-GB"/>
        </w:rPr>
        <w:endnoteReference w:id="55"/>
      </w:r>
      <w:r w:rsidR="001761EE">
        <w:rPr>
          <w:rFonts w:eastAsiaTheme="minorHAnsi"/>
          <w:lang w:val="en-GB"/>
        </w:rPr>
        <w:t xml:space="preserve"> </w:t>
      </w:r>
      <w:r>
        <w:rPr>
          <w:color w:val="000000" w:themeColor="text1"/>
        </w:rPr>
        <w:t>According to SAO, once citizen requests are received from various customer modules on the platform including modules to participate in annual audit planning, disclosing corruption, or selecting budget priority areas that SAO should look into, the requests are initially screened for relevance. While many inputs were received within one year, after initial screening, 25 were deemed relevant to SAO’s work and competences.</w:t>
      </w:r>
      <w:r>
        <w:rPr>
          <w:rStyle w:val="EndnoteReference"/>
          <w:color w:val="000000" w:themeColor="text1"/>
        </w:rPr>
        <w:endnoteReference w:id="56"/>
      </w:r>
      <w:r>
        <w:rPr>
          <w:color w:val="000000" w:themeColor="text1"/>
        </w:rPr>
        <w:t xml:space="preserve"> Out of the 25, 7 identified corruption risks. In total, around 9 inputs were taken into consideration in the audit plan. As the annual audit plan is decided upon at the end of the year, all suggestions received during the year can be potentially incorporated into the plan. It is challenging to make amendments to the existing plan for suggestions received after the plan is adopted, although it has been done.</w:t>
      </w:r>
      <w:r>
        <w:rPr>
          <w:rStyle w:val="EndnoteReference"/>
          <w:color w:val="000000" w:themeColor="text1"/>
        </w:rPr>
        <w:endnoteReference w:id="57"/>
      </w:r>
      <w:r>
        <w:rPr>
          <w:color w:val="000000" w:themeColor="text1"/>
        </w:rPr>
        <w:t xml:space="preserve"> Until September 2018, SAO submitted 29 reports to the Prosecutor’s Office for further investigation. </w:t>
      </w:r>
    </w:p>
    <w:p w:rsidR="00617421" w:rsidRPr="00A46FB9" w:rsidRDefault="00A5200D" w:rsidP="00821026">
      <w:pPr>
        <w:rPr>
          <w:rFonts w:eastAsiaTheme="minorHAnsi"/>
          <w:lang w:val="en-GB"/>
        </w:rPr>
      </w:pPr>
      <w:r>
        <w:rPr>
          <w:rFonts w:eastAsiaTheme="minorHAnsi"/>
          <w:lang w:val="en-GB"/>
        </w:rPr>
        <w:lastRenderedPageBreak/>
        <w:t xml:space="preserve">According to a </w:t>
      </w:r>
      <w:r w:rsidR="001761EE">
        <w:rPr>
          <w:rFonts w:eastAsiaTheme="minorHAnsi"/>
          <w:lang w:val="en-GB"/>
        </w:rPr>
        <w:t>researcher at ISET</w:t>
      </w:r>
      <w:r>
        <w:rPr>
          <w:rFonts w:eastAsiaTheme="minorHAnsi"/>
          <w:lang w:val="en-GB"/>
        </w:rPr>
        <w:t>, the</w:t>
      </w:r>
      <w:r w:rsidR="001761EE">
        <w:rPr>
          <w:rFonts w:eastAsiaTheme="minorHAnsi"/>
          <w:lang w:val="en-GB"/>
        </w:rPr>
        <w:t xml:space="preserve"> platform </w:t>
      </w:r>
      <w:r>
        <w:rPr>
          <w:rFonts w:eastAsiaTheme="minorHAnsi"/>
          <w:lang w:val="en-GB"/>
        </w:rPr>
        <w:t>as</w:t>
      </w:r>
      <w:r w:rsidR="001761EE">
        <w:rPr>
          <w:rFonts w:eastAsiaTheme="minorHAnsi"/>
          <w:lang w:val="en-GB"/>
        </w:rPr>
        <w:t xml:space="preserve"> a big step </w:t>
      </w:r>
      <w:r>
        <w:rPr>
          <w:rFonts w:eastAsiaTheme="minorHAnsi"/>
          <w:lang w:val="en-GB"/>
        </w:rPr>
        <w:t>however,</w:t>
      </w:r>
      <w:r w:rsidR="001761EE">
        <w:rPr>
          <w:rFonts w:eastAsiaTheme="minorHAnsi"/>
          <w:lang w:val="en-GB"/>
        </w:rPr>
        <w:t xml:space="preserve"> popularization of </w:t>
      </w:r>
      <w:r w:rsidR="00246B18">
        <w:rPr>
          <w:rFonts w:eastAsiaTheme="minorHAnsi"/>
          <w:lang w:val="en-GB"/>
        </w:rPr>
        <w:t>it</w:t>
      </w:r>
      <w:r w:rsidR="001761EE">
        <w:rPr>
          <w:rFonts w:eastAsiaTheme="minorHAnsi"/>
          <w:lang w:val="en-GB"/>
        </w:rPr>
        <w:t xml:space="preserve"> remains problematic.</w:t>
      </w:r>
      <w:r w:rsidR="008815D4">
        <w:rPr>
          <w:rStyle w:val="EndnoteReference"/>
          <w:rFonts w:eastAsiaTheme="minorHAnsi"/>
          <w:lang w:val="en-GB"/>
        </w:rPr>
        <w:endnoteReference w:id="58"/>
      </w:r>
      <w:r w:rsidR="001761EE">
        <w:rPr>
          <w:rFonts w:eastAsiaTheme="minorHAnsi"/>
          <w:lang w:val="en-GB"/>
        </w:rPr>
        <w:t xml:space="preserve"> </w:t>
      </w:r>
      <w:r w:rsidR="000B3D1D">
        <w:rPr>
          <w:rFonts w:eastAsiaTheme="minorHAnsi"/>
          <w:lang w:val="en-GB"/>
        </w:rPr>
        <w:t xml:space="preserve">CSO representatives </w:t>
      </w:r>
      <w:r w:rsidR="001761EE">
        <w:rPr>
          <w:rFonts w:eastAsiaTheme="minorHAnsi"/>
          <w:lang w:val="en-GB"/>
        </w:rPr>
        <w:t xml:space="preserve">positively </w:t>
      </w:r>
      <w:r w:rsidR="000B3D1D">
        <w:rPr>
          <w:rFonts w:eastAsiaTheme="minorHAnsi"/>
          <w:lang w:val="en-GB"/>
        </w:rPr>
        <w:t>assess SAO’s earlier efforts to popularize the platform</w:t>
      </w:r>
      <w:r w:rsidR="00586233">
        <w:rPr>
          <w:rFonts w:eastAsiaTheme="minorHAnsi"/>
          <w:lang w:val="en-GB"/>
        </w:rPr>
        <w:t>, and stress that m</w:t>
      </w:r>
      <w:r w:rsidR="000B3D1D">
        <w:rPr>
          <w:rFonts w:eastAsiaTheme="minorHAnsi"/>
          <w:lang w:val="en-GB"/>
        </w:rPr>
        <w:t xml:space="preserve">eetings organized by the agency </w:t>
      </w:r>
      <w:r w:rsidR="00586233">
        <w:rPr>
          <w:rFonts w:eastAsiaTheme="minorHAnsi"/>
          <w:lang w:val="en-GB"/>
        </w:rPr>
        <w:t>to introduce the platform w</w:t>
      </w:r>
      <w:r w:rsidR="001761EE">
        <w:rPr>
          <w:rFonts w:eastAsiaTheme="minorHAnsi"/>
          <w:lang w:val="en-GB"/>
        </w:rPr>
        <w:t xml:space="preserve">ere helpful. Nevertheless, </w:t>
      </w:r>
      <w:r w:rsidR="00586233">
        <w:rPr>
          <w:rFonts w:eastAsiaTheme="minorHAnsi"/>
          <w:lang w:val="en-GB"/>
        </w:rPr>
        <w:t>w</w:t>
      </w:r>
      <w:r w:rsidR="000B3D1D">
        <w:rPr>
          <w:rFonts w:eastAsiaTheme="minorHAnsi"/>
          <w:lang w:val="en-GB"/>
        </w:rPr>
        <w:t xml:space="preserve">hile </w:t>
      </w:r>
      <w:r w:rsidR="00586233">
        <w:rPr>
          <w:rFonts w:eastAsiaTheme="minorHAnsi"/>
          <w:lang w:val="en-GB"/>
        </w:rPr>
        <w:t xml:space="preserve">the </w:t>
      </w:r>
      <w:r w:rsidR="000B3D1D">
        <w:rPr>
          <w:rFonts w:eastAsiaTheme="minorHAnsi"/>
          <w:lang w:val="en-GB"/>
        </w:rPr>
        <w:t xml:space="preserve">platform was actively popularized through ads on Facebook in the past, the activity on popular social media platforms decreased. </w:t>
      </w:r>
      <w:r w:rsidR="001761EE">
        <w:rPr>
          <w:rFonts w:eastAsiaTheme="minorHAnsi"/>
          <w:lang w:val="en-GB"/>
        </w:rPr>
        <w:t>According to Senior Analyst at Transparency International Georgia (TIG) u</w:t>
      </w:r>
      <w:r w:rsidR="000B3D1D">
        <w:rPr>
          <w:rFonts w:eastAsiaTheme="minorHAnsi"/>
          <w:lang w:val="en-GB"/>
        </w:rPr>
        <w:t>sing social media further would benefit popularization of the budgetmonitor.ge.</w:t>
      </w:r>
      <w:r w:rsidR="008815D4">
        <w:rPr>
          <w:rStyle w:val="EndnoteReference"/>
          <w:rFonts w:eastAsiaTheme="minorHAnsi"/>
          <w:lang w:val="en-GB"/>
        </w:rPr>
        <w:endnoteReference w:id="59"/>
      </w:r>
      <w:r w:rsidR="000B3D1D">
        <w:rPr>
          <w:rFonts w:eastAsiaTheme="minorHAnsi"/>
          <w:lang w:val="en-GB"/>
        </w:rPr>
        <w:t xml:space="preserve"> </w:t>
      </w:r>
    </w:p>
    <w:p w:rsidR="00617421" w:rsidRPr="004B1C12" w:rsidRDefault="00617421" w:rsidP="00FE5928">
      <w:pPr>
        <w:pStyle w:val="Heading3"/>
      </w:pPr>
      <w:bookmarkStart w:id="54" w:name="_Toc525759437"/>
      <w:r w:rsidRPr="0010229D">
        <w:t xml:space="preserve">Carried </w:t>
      </w:r>
      <w:r w:rsidRPr="004B1C12">
        <w:t>F</w:t>
      </w:r>
      <w:r w:rsidRPr="0010229D">
        <w:t>orward?</w:t>
      </w:r>
      <w:bookmarkEnd w:id="54"/>
    </w:p>
    <w:p w:rsidR="00617421" w:rsidRDefault="00617421" w:rsidP="00821026">
      <w:pPr>
        <w:pStyle w:val="Normalrglronly"/>
        <w:rPr>
          <w:color w:val="auto"/>
        </w:rPr>
      </w:pPr>
      <w:r>
        <w:rPr>
          <w:color w:val="auto"/>
        </w:rPr>
        <w:t xml:space="preserve">Based on </w:t>
      </w:r>
      <w:r w:rsidRPr="00904CAB">
        <w:rPr>
          <w:color w:val="auto"/>
        </w:rPr>
        <w:t>IRM recommendation</w:t>
      </w:r>
      <w:r>
        <w:rPr>
          <w:color w:val="auto"/>
        </w:rPr>
        <w:t>s</w:t>
      </w:r>
      <w:r w:rsidRPr="00904CAB">
        <w:rPr>
          <w:color w:val="auto"/>
        </w:rPr>
        <w:t xml:space="preserve">, SAO included </w:t>
      </w:r>
      <w:r w:rsidR="00017C6C">
        <w:rPr>
          <w:color w:val="auto"/>
        </w:rPr>
        <w:t>a related</w:t>
      </w:r>
      <w:r w:rsidR="00017C6C" w:rsidRPr="00904CAB">
        <w:rPr>
          <w:color w:val="auto"/>
        </w:rPr>
        <w:t xml:space="preserve"> </w:t>
      </w:r>
      <w:r w:rsidRPr="00904CAB">
        <w:rPr>
          <w:color w:val="auto"/>
        </w:rPr>
        <w:t>commitment in the 2018-20</w:t>
      </w:r>
      <w:r w:rsidR="00E936AF">
        <w:rPr>
          <w:color w:val="auto"/>
        </w:rPr>
        <w:t>19</w:t>
      </w:r>
      <w:r w:rsidR="00366753">
        <w:rPr>
          <w:color w:val="auto"/>
        </w:rPr>
        <w:t xml:space="preserve"> </w:t>
      </w:r>
      <w:r w:rsidRPr="00904CAB">
        <w:rPr>
          <w:color w:val="auto"/>
        </w:rPr>
        <w:t>Action Plan</w:t>
      </w:r>
      <w:r w:rsidR="00366753">
        <w:rPr>
          <w:color w:val="auto"/>
        </w:rPr>
        <w:t xml:space="preserve"> (Commitment 11)</w:t>
      </w:r>
      <w:r w:rsidRPr="00904CAB">
        <w:rPr>
          <w:color w:val="auto"/>
        </w:rPr>
        <w:t xml:space="preserve">, with a specific focus on citizen engagement in audit process. Namely, SAO </w:t>
      </w:r>
      <w:r w:rsidR="00122363">
        <w:rPr>
          <w:color w:val="auto"/>
        </w:rPr>
        <w:t xml:space="preserve">plans to </w:t>
      </w:r>
      <w:r w:rsidRPr="00904CAB">
        <w:rPr>
          <w:color w:val="auto"/>
        </w:rPr>
        <w:t xml:space="preserve">establish </w:t>
      </w:r>
      <w:r w:rsidR="00366753">
        <w:rPr>
          <w:color w:val="auto"/>
        </w:rPr>
        <w:t xml:space="preserve">a </w:t>
      </w:r>
      <w:r w:rsidRPr="00904CAB">
        <w:rPr>
          <w:color w:val="auto"/>
        </w:rPr>
        <w:t xml:space="preserve">feedback mechanism on citizen input received </w:t>
      </w:r>
      <w:r>
        <w:rPr>
          <w:color w:val="auto"/>
        </w:rPr>
        <w:t xml:space="preserve">through the </w:t>
      </w:r>
      <w:r w:rsidRPr="001D1928">
        <w:rPr>
          <w:color w:val="auto"/>
        </w:rPr>
        <w:t>Budgetmonitor.ge,</w:t>
      </w:r>
      <w:r w:rsidRPr="00904CAB">
        <w:rPr>
          <w:color w:val="auto"/>
        </w:rPr>
        <w:t xml:space="preserve"> which will </w:t>
      </w:r>
      <w:r>
        <w:rPr>
          <w:color w:val="auto"/>
        </w:rPr>
        <w:t>improve the</w:t>
      </w:r>
      <w:r w:rsidRPr="00904CAB">
        <w:rPr>
          <w:color w:val="auto"/>
        </w:rPr>
        <w:t xml:space="preserve"> </w:t>
      </w:r>
      <w:r>
        <w:rPr>
          <w:color w:val="auto"/>
        </w:rPr>
        <w:t xml:space="preserve">efficiency and timeliness of responses to citizen notifications (audit planning suggestions or corruption case reporting), which will in its turn increase citizen trust in the platform. SAO plans to conduct five working group meetings to increase awareness regarding the platform. </w:t>
      </w:r>
    </w:p>
    <w:p w:rsidR="00617421" w:rsidRDefault="00617421" w:rsidP="00F26B4A"/>
    <w:p w:rsidR="00617421" w:rsidRDefault="00617421">
      <w:pPr>
        <w:tabs>
          <w:tab w:val="clear" w:pos="2880"/>
        </w:tabs>
        <w:rPr>
          <w:rFonts w:eastAsiaTheme="majorEastAsia"/>
          <w:b/>
          <w:bCs/>
          <w:color w:val="1F497D" w:themeColor="text2"/>
          <w:sz w:val="26"/>
          <w:szCs w:val="26"/>
        </w:rPr>
      </w:pPr>
      <w:bookmarkStart w:id="55" w:name="_Toc502917034"/>
      <w:r>
        <w:br w:type="page"/>
      </w:r>
    </w:p>
    <w:p w:rsidR="00617421" w:rsidRDefault="00617421" w:rsidP="00F26B4A">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C82E50" w:rsidRDefault="00C82E50">
      <w:pPr>
        <w:tabs>
          <w:tab w:val="clear" w:pos="2880"/>
        </w:tabs>
        <w:rPr>
          <w:rFonts w:eastAsiaTheme="majorEastAsia"/>
          <w:b/>
          <w:bCs/>
          <w:color w:val="1F497D" w:themeColor="text2"/>
          <w:sz w:val="26"/>
          <w:szCs w:val="26"/>
        </w:rPr>
      </w:pPr>
      <w:bookmarkStart w:id="56" w:name="_Toc409220387"/>
      <w:r>
        <w:lastRenderedPageBreak/>
        <w:br w:type="page"/>
      </w:r>
    </w:p>
    <w:p w:rsidR="00617421" w:rsidRDefault="00617421" w:rsidP="00F26B4A">
      <w:pPr>
        <w:pStyle w:val="Heading2"/>
      </w:pPr>
      <w:r w:rsidRPr="00D636E5">
        <w:lastRenderedPageBreak/>
        <w:t xml:space="preserve">15. Electronic innovations for more transparency and efficiency of </w:t>
      </w:r>
      <w:r>
        <w:t>p</w:t>
      </w:r>
      <w:r w:rsidRPr="00D636E5">
        <w:t xml:space="preserve">ublic </w:t>
      </w:r>
      <w:r>
        <w:t>p</w:t>
      </w:r>
      <w:r w:rsidRPr="00D636E5">
        <w:t>rocurement</w:t>
      </w:r>
      <w:bookmarkEnd w:id="55"/>
      <w:bookmarkEnd w:id="56"/>
      <w:r w:rsidRPr="00D636E5">
        <w:t xml:space="preserve"> </w:t>
      </w:r>
    </w:p>
    <w:p w:rsidR="00617421" w:rsidRDefault="00617421" w:rsidP="00F26B4A">
      <w:pPr>
        <w:tabs>
          <w:tab w:val="left" w:pos="1840"/>
        </w:tabs>
      </w:pPr>
      <w:r>
        <w:tab/>
      </w:r>
    </w:p>
    <w:p w:rsidR="00617421" w:rsidRPr="006B0AB4" w:rsidRDefault="00617421" w:rsidP="00F26B4A">
      <w:pPr>
        <w:rPr>
          <w:b/>
          <w:szCs w:val="22"/>
        </w:rPr>
      </w:pPr>
      <w:r w:rsidRPr="006B0AB4">
        <w:rPr>
          <w:b/>
          <w:szCs w:val="22"/>
        </w:rPr>
        <w:t xml:space="preserve">Commitment Text: </w:t>
      </w:r>
    </w:p>
    <w:p w:rsidR="00617421" w:rsidRDefault="00617421" w:rsidP="00F26B4A">
      <w:pPr>
        <w:pStyle w:val="APQuotefeaturetol"/>
      </w:pPr>
      <w:r>
        <w:t>Transparent public procurement and increasing the level of accountability, elimination of geographic barriers and rising competitiveness in this process is a permanent priority of the Government of Georgia. To achieve this objective, the State Procurement Agency plans to introduce the following innovative projects:</w:t>
      </w:r>
    </w:p>
    <w:p w:rsidR="00617421" w:rsidRDefault="00617421" w:rsidP="00F26B4A">
      <w:pPr>
        <w:pStyle w:val="APQuotefeaturetol"/>
      </w:pPr>
      <w:r w:rsidRPr="00092FE0">
        <w:rPr>
          <w:b/>
        </w:rPr>
        <w:t>Component 1</w:t>
      </w:r>
      <w:r>
        <w:t xml:space="preserve"> </w:t>
      </w:r>
      <w:r w:rsidRPr="00092FE0">
        <w:rPr>
          <w:b/>
        </w:rPr>
        <w:t>– Aggregated data on tenders:</w:t>
      </w:r>
      <w:r>
        <w:t xml:space="preserve"> Starting from December 2010, tenders on public procurement are held only through a unified electronic system (procurement.gov.ge) of public procurement. Around 36000 tenders are announced through this system and this number, as well as many other data tends to increase. The mentioned trend complicates the accumulation and analysis process of information on particular procurement object or tender for the stakeholders.</w:t>
      </w:r>
    </w:p>
    <w:p w:rsidR="00617421" w:rsidRDefault="00617421" w:rsidP="00F26B4A">
      <w:pPr>
        <w:pStyle w:val="APQuotefeaturetol"/>
      </w:pPr>
      <w:r>
        <w:t>Aggregation of tender data in one space will make the following data easily accessible:</w:t>
      </w:r>
    </w:p>
    <w:p w:rsidR="00617421" w:rsidRDefault="00617421" w:rsidP="006D04DF">
      <w:pPr>
        <w:pStyle w:val="APQuotefeaturetol"/>
        <w:numPr>
          <w:ilvl w:val="0"/>
          <w:numId w:val="6"/>
        </w:numPr>
      </w:pPr>
      <w:r>
        <w:t>Data on procurement objects, tender types, number of bidders, potential and contract values of a tender, winning bidders, number of disqualified bidders, etc.;</w:t>
      </w:r>
    </w:p>
    <w:p w:rsidR="00617421" w:rsidRDefault="00617421" w:rsidP="006D04DF">
      <w:pPr>
        <w:pStyle w:val="APQuotefeaturetol"/>
        <w:numPr>
          <w:ilvl w:val="0"/>
          <w:numId w:val="6"/>
        </w:numPr>
      </w:pPr>
      <w:r>
        <w:tab/>
        <w:t>Annual data (data will be located in the machine-readable format (CSV, JSON, XML)).</w:t>
      </w:r>
    </w:p>
    <w:p w:rsidR="00617421" w:rsidRDefault="00617421" w:rsidP="00F26B4A">
      <w:pPr>
        <w:pStyle w:val="APQuotefeaturetol"/>
      </w:pPr>
      <w:r>
        <w:t>Aggregated data on tender in a new format will allow contracting authorities, interested organizations to participate in public procurement, start-ups and representatives of small businesses and NGO sector to fully analyze the state of the market and make business forecasts.</w:t>
      </w:r>
    </w:p>
    <w:p w:rsidR="00617421" w:rsidRDefault="00617421" w:rsidP="00F26B4A">
      <w:pPr>
        <w:pStyle w:val="APQuotefeaturetol"/>
      </w:pPr>
      <w:r w:rsidRPr="00092FE0">
        <w:rPr>
          <w:b/>
        </w:rPr>
        <w:t xml:space="preserve">Component 2 – Aggregated data on annual plans of public procurement: </w:t>
      </w:r>
      <w:r>
        <w:t>Public procurement is carried out in compliance with pre-defined annual procurement plans, registered in the unified electronic system of public procurement – e-Plan module by contracting authority. As for stakeholders, they currently have access only to general information about the annual plan. The planned changes in the electronic module will allow the customer to obtain detailed information on the annual procurement of each procuring organization, and consolidate information on the planned public procurement according to the regions and price. As a result, the representatives of the business sector will have a unique opportunity to obtain information on scheduled procurement, its price and location (region) by one or more entities among 4469 procuring organizations registered in the e-Procurement system by using a CPV code. Additionally, the publication of a list of top procurement objects and their total amount is planned on the official webpage of the public procurement. These innovations will enable better assessment of the market requirements and better planning of the future activities of the business representatives.</w:t>
      </w:r>
    </w:p>
    <w:p w:rsidR="00617421" w:rsidRDefault="00617421" w:rsidP="00F26B4A">
      <w:pPr>
        <w:pStyle w:val="APQuotefeaturetol"/>
      </w:pPr>
      <w:r w:rsidRPr="00092FE0">
        <w:rPr>
          <w:b/>
        </w:rPr>
        <w:t>Component 3 – E-catalogue on the procurement objects and economic operators (e-Market):</w:t>
      </w:r>
      <w:r>
        <w:t xml:space="preserve">  Establishment of the estimated value of the procurement object is preceded by a market research conducted by the contracting authorities, which is important for both arranging a concrete tender objectively, and for correctly defining the annual procurement budget while developing the annual plan.</w:t>
      </w:r>
    </w:p>
    <w:p w:rsidR="00617421" w:rsidRDefault="00617421" w:rsidP="00F26B4A">
      <w:pPr>
        <w:pStyle w:val="APQuotefeaturetol"/>
      </w:pPr>
      <w:r>
        <w:t>Hence, elaboration of an electronic catalogue for key procurement products is recommended, which will:</w:t>
      </w:r>
    </w:p>
    <w:p w:rsidR="00617421" w:rsidRDefault="00617421" w:rsidP="006D04DF">
      <w:pPr>
        <w:pStyle w:val="APQuotefeaturetol"/>
        <w:numPr>
          <w:ilvl w:val="0"/>
          <w:numId w:val="7"/>
        </w:numPr>
      </w:pPr>
      <w:r>
        <w:t>objectively reflect the market prices;</w:t>
      </w:r>
    </w:p>
    <w:p w:rsidR="00617421" w:rsidRDefault="00617421" w:rsidP="006D04DF">
      <w:pPr>
        <w:pStyle w:val="APQuotefeaturetol"/>
        <w:numPr>
          <w:ilvl w:val="0"/>
          <w:numId w:val="7"/>
        </w:numPr>
      </w:pPr>
      <w:r>
        <w:t>accumulate prices of various products by economic operators;</w:t>
      </w:r>
    </w:p>
    <w:p w:rsidR="00617421" w:rsidRDefault="00617421" w:rsidP="006D04DF">
      <w:pPr>
        <w:pStyle w:val="APQuotefeaturetol"/>
        <w:numPr>
          <w:ilvl w:val="0"/>
          <w:numId w:val="7"/>
        </w:numPr>
      </w:pPr>
      <w:r>
        <w:lastRenderedPageBreak/>
        <w:t>reflect information on economic operators countrywide, as well as regionwide; etc.</w:t>
      </w:r>
    </w:p>
    <w:p w:rsidR="00617421" w:rsidRDefault="00617421" w:rsidP="00F26B4A">
      <w:pPr>
        <w:pStyle w:val="APQuotefeaturetol"/>
      </w:pPr>
      <w:r>
        <w:t>This innovation will allow the agencies to plan procurement more efficiently and obtain information on the market prices, economic operators, and conditions in a short period of time at the public procurement preparation stage. Maximum data openness will help the procuring agencies to define correctly the estimated price of the procurement object, which will reduce the risks of setting high prices by contracting authorities, corruption and failed tenders.</w:t>
      </w:r>
    </w:p>
    <w:p w:rsidR="00617421" w:rsidRDefault="00617421" w:rsidP="00F26B4A">
      <w:pPr>
        <w:pStyle w:val="APQuotefeaturetol"/>
      </w:pPr>
      <w:r>
        <w:t>Introduction of innovations envisaged by these three components ensures transparency, elimination of geographic inequality, enhancement of anticorruption endeavor and support to business in the public procurement process countrywide.</w:t>
      </w:r>
    </w:p>
    <w:p w:rsidR="00617421" w:rsidRPr="00505C1E" w:rsidRDefault="00617421" w:rsidP="00F26B4A"/>
    <w:p w:rsidR="00617421" w:rsidRPr="00505C1E" w:rsidRDefault="00617421" w:rsidP="00F26B4A">
      <w:pPr>
        <w:pStyle w:val="Normalrglronly"/>
      </w:pPr>
      <w:r w:rsidRPr="00505C1E">
        <w:t xml:space="preserve">Responsible institution: </w:t>
      </w:r>
      <w:r w:rsidRPr="00505C1E">
        <w:rPr>
          <w:noProof/>
        </w:rPr>
        <w:t>LELP – State Procurement Agency</w:t>
      </w:r>
    </w:p>
    <w:p w:rsidR="00617421" w:rsidRPr="00505C1E" w:rsidRDefault="00617421" w:rsidP="00F26B4A">
      <w:pPr>
        <w:pStyle w:val="Normalrglronly"/>
      </w:pPr>
      <w:r w:rsidRPr="00505C1E">
        <w:t xml:space="preserve">Supporting institution(s): </w:t>
      </w:r>
      <w:r w:rsidRPr="00505C1E">
        <w:rPr>
          <w:noProof/>
        </w:rPr>
        <w:t>LELP – National Agency of Public Registry</w:t>
      </w:r>
    </w:p>
    <w:p w:rsidR="00617421" w:rsidRPr="00505C1E" w:rsidRDefault="00617421" w:rsidP="00505C1E">
      <w:pPr>
        <w:spacing w:after="120"/>
      </w:pPr>
      <w:r w:rsidRPr="00505C1E">
        <w:rPr>
          <w:szCs w:val="22"/>
        </w:rPr>
        <w:t xml:space="preserve">Start date: June 2016                          </w:t>
      </w:r>
      <w:r w:rsidRPr="00505C1E">
        <w:tab/>
      </w:r>
      <w:r w:rsidRPr="00505C1E">
        <w:rPr>
          <w:szCs w:val="22"/>
        </w:rPr>
        <w:t>End date: December 2017</w:t>
      </w:r>
    </w:p>
    <w:p w:rsidR="00617421" w:rsidRDefault="00617421" w:rsidP="00F26B4A">
      <w:pPr>
        <w:rPr>
          <w:szCs w:val="22"/>
        </w:rPr>
      </w:pPr>
    </w:p>
    <w:tbl>
      <w:tblPr>
        <w:tblW w:w="1097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10229D" w:rsidRDefault="00617421" w:rsidP="00C60967">
            <w:r w:rsidRPr="0010229D">
              <w:t xml:space="preserve">Did </w:t>
            </w:r>
            <w:r w:rsidRPr="004B1C12">
              <w:t>I</w:t>
            </w:r>
            <w:r w:rsidRPr="0010229D">
              <w:t>t Open Government?</w:t>
            </w:r>
          </w:p>
        </w:tc>
      </w:tr>
      <w:tr w:rsidR="00617421" w:rsidRPr="004B1C12" w:rsidTr="00E60731">
        <w:trPr>
          <w:trHeight w:val="373"/>
        </w:trPr>
        <w:tc>
          <w:tcPr>
            <w:tcW w:w="1596" w:type="dxa"/>
            <w:vMerge/>
            <w:tcBorders>
              <w:left w:val="single" w:sz="4" w:space="0" w:color="FFFFFF"/>
              <w:right w:val="single" w:sz="18" w:space="0" w:color="FFFFFF"/>
            </w:tcBorders>
            <w:shd w:val="clear" w:color="auto" w:fill="000000"/>
            <w:vAlign w:val="center"/>
          </w:tcPr>
          <w:p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10229D" w:rsidRDefault="00617421" w:rsidP="00C60967"/>
        </w:tc>
      </w:tr>
      <w:tr w:rsidR="00617421" w:rsidRPr="004B1C12"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10229D" w:rsidRDefault="00617421" w:rsidP="00C60967">
            <w:r w:rsidRPr="0010229D">
              <w:t>Outstanding</w:t>
            </w:r>
          </w:p>
        </w:tc>
      </w:tr>
      <w:tr w:rsidR="00617421" w:rsidRPr="004B1C12" w:rsidTr="00E60731">
        <w:trPr>
          <w:trHeight w:val="600"/>
        </w:trPr>
        <w:tc>
          <w:tcPr>
            <w:tcW w:w="1596" w:type="dxa"/>
            <w:vMerge w:val="restart"/>
            <w:tcBorders>
              <w:top w:val="single" w:sz="18" w:space="0" w:color="FFFFFF"/>
              <w:left w:val="single" w:sz="4" w:space="0" w:color="FFFFFF"/>
            </w:tcBorders>
            <w:shd w:val="clear" w:color="auto" w:fill="000000"/>
            <w:vAlign w:val="center"/>
          </w:tcPr>
          <w:p w:rsidR="00617421" w:rsidRPr="00FF7B5E" w:rsidRDefault="00617421" w:rsidP="00C60967">
            <w:pPr>
              <w:rPr>
                <w:color w:val="FFFFFF" w:themeColor="background1"/>
              </w:rPr>
            </w:pPr>
            <w:r w:rsidRPr="00FF7B5E">
              <w:rPr>
                <w:rFonts w:hint="cs"/>
                <w:color w:val="FFFFFF" w:themeColor="background1"/>
              </w:rPr>
              <w:t xml:space="preserve">15. Electronic innovations for more transparency and efficiency of Public Procurement </w:t>
            </w:r>
          </w:p>
        </w:tc>
        <w:tc>
          <w:tcPr>
            <w:tcW w:w="445" w:type="dxa"/>
            <w:vMerge w:val="restart"/>
            <w:tcBorders>
              <w:top w:val="single" w:sz="18" w:space="0" w:color="FFFFFF"/>
              <w:right w:val="single" w:sz="2" w:space="0" w:color="FFFFFF"/>
            </w:tcBorders>
            <w:shd w:val="clear" w:color="auto" w:fill="D6E3BC"/>
            <w:vAlign w:val="center"/>
          </w:tcPr>
          <w:p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10229D" w:rsidRDefault="00617421"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10229D" w:rsidRDefault="00617421" w:rsidP="00C60967">
            <w:r w:rsidRPr="0010229D">
              <w:rPr>
                <w:rFonts w:ascii="MS Mincho" w:eastAsia="MS Mincho" w:hAnsi="MS Mincho" w:cs="MS Mincho"/>
                <w:sz w:val="20"/>
              </w:rPr>
              <w:t>✔</w:t>
            </w:r>
          </w:p>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10229D" w:rsidRDefault="00617421"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r w:rsidRPr="0010229D">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10229D" w:rsidRDefault="00617421" w:rsidP="00C60967"/>
        </w:tc>
      </w:tr>
      <w:tr w:rsidR="00617421" w:rsidRPr="004B1C12" w:rsidTr="00E60731">
        <w:trPr>
          <w:trHeight w:val="636"/>
        </w:trPr>
        <w:tc>
          <w:tcPr>
            <w:tcW w:w="1596" w:type="dxa"/>
            <w:vMerge/>
            <w:tcBorders>
              <w:left w:val="nil"/>
              <w:bottom w:val="single" w:sz="18" w:space="0" w:color="FFFFFF"/>
            </w:tcBorders>
            <w:shd w:val="clear" w:color="auto" w:fill="000000"/>
            <w:vAlign w:val="center"/>
          </w:tcPr>
          <w:p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617421" w:rsidRPr="0010229D" w:rsidRDefault="00617421"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rsidR="00617421" w:rsidRPr="0010229D" w:rsidRDefault="00617421" w:rsidP="00C60967">
            <w:r w:rsidRPr="0010229D">
              <w:rPr>
                <w:rFonts w:ascii="MS Mincho" w:eastAsia="MS Mincho" w:hAnsi="MS Mincho" w:cs="MS Mincho"/>
                <w:sz w:val="20"/>
              </w:rPr>
              <w:t>✔</w:t>
            </w:r>
          </w:p>
        </w:tc>
        <w:tc>
          <w:tcPr>
            <w:tcW w:w="461" w:type="dxa"/>
            <w:tcBorders>
              <w:top w:val="nil"/>
              <w:left w:val="single" w:sz="2" w:space="0" w:color="FFFFFF"/>
              <w:bottom w:val="single" w:sz="18" w:space="0" w:color="FFFFFF"/>
              <w:right w:val="single" w:sz="18" w:space="0" w:color="FFFFFF"/>
            </w:tcBorders>
            <w:shd w:val="clear" w:color="auto" w:fill="B8CCE4"/>
            <w:vAlign w:val="center"/>
          </w:tcPr>
          <w:p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rsidR="00617421" w:rsidRPr="0010229D" w:rsidRDefault="00617421" w:rsidP="00C60967"/>
        </w:tc>
      </w:tr>
    </w:tbl>
    <w:p w:rsidR="00617421" w:rsidRDefault="00617421" w:rsidP="00F26B4A">
      <w:pPr>
        <w:rPr>
          <w:lang w:val="en-GB"/>
        </w:rPr>
      </w:pPr>
    </w:p>
    <w:p w:rsidR="00617421" w:rsidRDefault="00617421" w:rsidP="00FE5928">
      <w:pPr>
        <w:pStyle w:val="Heading3"/>
      </w:pPr>
      <w:r w:rsidRPr="0010229D">
        <w:t xml:space="preserve">Commitment </w:t>
      </w:r>
      <w:r w:rsidRPr="004B1C12">
        <w:t>A</w:t>
      </w:r>
      <w:r w:rsidRPr="0010229D">
        <w:t>im:</w:t>
      </w:r>
    </w:p>
    <w:p w:rsidR="00617421" w:rsidRDefault="00617421" w:rsidP="00F26B4A">
      <w:r>
        <w:t>To comply with open contracting requirements and to allow for deeper analysis of the available procurement data, t</w:t>
      </w:r>
      <w:r w:rsidRPr="00F26B4A">
        <w:t xml:space="preserve">he </w:t>
      </w:r>
      <w:r>
        <w:t xml:space="preserve">State Procurement Agency (SPA) committed to </w:t>
      </w:r>
      <w:r w:rsidRPr="00F26B4A">
        <w:t xml:space="preserve">publishing aggregated data on tenders, annual plans of procuring agencies and the estimated </w:t>
      </w:r>
      <w:r>
        <w:t>value of each procurement object in open data format. The commitment specifically aimed to:</w:t>
      </w:r>
    </w:p>
    <w:p w:rsidR="00617421" w:rsidRDefault="00617421" w:rsidP="00615512">
      <w:pPr>
        <w:pStyle w:val="ListParagraph"/>
      </w:pPr>
      <w:r>
        <w:t>Publish data on procurement objects, tender types, number of bidders, potential and actual values of tender contracts, winning bidders, and number of disqualified bidders;</w:t>
      </w:r>
    </w:p>
    <w:p w:rsidR="00617421" w:rsidRDefault="00617421" w:rsidP="00615512">
      <w:pPr>
        <w:pStyle w:val="ListParagraph"/>
      </w:pPr>
      <w:r>
        <w:t>Publish the aforementioned data annually in CSV, JSON, and XML formats;</w:t>
      </w:r>
    </w:p>
    <w:p w:rsidR="00617421" w:rsidRDefault="00617421" w:rsidP="00AC7ABF">
      <w:pPr>
        <w:pStyle w:val="ListParagraph"/>
      </w:pPr>
      <w:r>
        <w:t>Publish detailed information on the annual procurement plans of each procuring agency, and categorize this information across the regions and price;</w:t>
      </w:r>
    </w:p>
    <w:p w:rsidR="00617421" w:rsidRDefault="00617421" w:rsidP="00AC7ABF">
      <w:pPr>
        <w:pStyle w:val="ListParagraph"/>
      </w:pPr>
      <w:r>
        <w:lastRenderedPageBreak/>
        <w:t>Publish a list of top procurement products and their total amount on the SPA’s official public procurement platform. This includes the estimation of the market prices of those products and the information on their producers.</w:t>
      </w:r>
    </w:p>
    <w:p w:rsidR="00617421" w:rsidRPr="0010229D" w:rsidRDefault="00617421" w:rsidP="00FE5928">
      <w:pPr>
        <w:pStyle w:val="Heading3"/>
      </w:pPr>
      <w:r w:rsidRPr="0010229D">
        <w:t>Status</w:t>
      </w:r>
    </w:p>
    <w:p w:rsidR="00617421" w:rsidRDefault="00617421" w:rsidP="00F26B4A">
      <w:pPr>
        <w:pStyle w:val="Normalrglronly"/>
        <w:rPr>
          <w:b/>
          <w:color w:val="000000" w:themeColor="text1"/>
        </w:rPr>
      </w:pPr>
      <w:r w:rsidRPr="004B1C12">
        <w:rPr>
          <w:b/>
        </w:rPr>
        <w:t xml:space="preserve">Midterm: </w:t>
      </w:r>
      <w:r w:rsidRPr="004B1C12">
        <w:rPr>
          <w:b/>
          <w:color w:val="000000" w:themeColor="text1"/>
        </w:rPr>
        <w:t>Limited</w:t>
      </w:r>
    </w:p>
    <w:p w:rsidR="00617421" w:rsidRDefault="00617421" w:rsidP="00F26B4A">
      <w:pPr>
        <w:pStyle w:val="Normalrglronly"/>
      </w:pPr>
      <w:r>
        <w:t xml:space="preserve">At the mid-term, the commitment </w:t>
      </w:r>
      <w:r w:rsidR="00615212">
        <w:t xml:space="preserve">had seen </w:t>
      </w:r>
      <w:r>
        <w:t xml:space="preserve">limited implementation since the aggregated data on tenders </w:t>
      </w:r>
      <w:r w:rsidR="00615212">
        <w:t xml:space="preserve">(component 1) </w:t>
      </w:r>
      <w:r>
        <w:t>and annual procurement plans of public agencies</w:t>
      </w:r>
      <w:r w:rsidR="00615212">
        <w:t xml:space="preserve"> (component 2)</w:t>
      </w:r>
      <w:r>
        <w:t xml:space="preserve"> w</w:t>
      </w:r>
      <w:r w:rsidR="00615212">
        <w:t>ere</w:t>
      </w:r>
      <w:r>
        <w:t xml:space="preserve"> not published in open data format. The SPA conducted research and a workshop on Open Contracting Data Standard (OCDS), developed an action plan and worked on the implementation together with the World Bank experts. </w:t>
      </w:r>
    </w:p>
    <w:p w:rsidR="00617421" w:rsidRPr="00974FF8" w:rsidRDefault="00617421" w:rsidP="00F26B4A">
      <w:pPr>
        <w:pStyle w:val="Normalrglronly"/>
      </w:pPr>
      <w:r>
        <w:t xml:space="preserve">The third component of the commitment, an e-Market module, was launched in the fall of 2016. The module contained information about suppliers, their products, prices, warranty terms and the shipment location. The SPA planned to promote this new module on its Facebook page as well as during meetings with stakeholders. </w:t>
      </w:r>
      <w:r w:rsidR="00615212" w:rsidRPr="0023655E">
        <w:t>For more information, please see the 2016–2017 IRM midterm report.</w:t>
      </w:r>
    </w:p>
    <w:p w:rsidR="00617421" w:rsidRPr="004B1C12" w:rsidRDefault="00617421" w:rsidP="00F26B4A">
      <w:pPr>
        <w:pStyle w:val="Normalrglronly"/>
        <w:rPr>
          <w:b/>
          <w:color w:val="000000" w:themeColor="text1"/>
        </w:rPr>
      </w:pPr>
      <w:r w:rsidRPr="004B1C12">
        <w:rPr>
          <w:b/>
        </w:rPr>
        <w:t xml:space="preserve">End of term: </w:t>
      </w:r>
      <w:r w:rsidR="001B25BD">
        <w:rPr>
          <w:b/>
          <w:color w:val="000000" w:themeColor="text1"/>
        </w:rPr>
        <w:t>Substantial</w:t>
      </w:r>
    </w:p>
    <w:p w:rsidR="00617421" w:rsidRDefault="00617421" w:rsidP="00F26B4A">
      <w:pPr>
        <w:pStyle w:val="Normalrglronly"/>
        <w:rPr>
          <w:color w:val="auto"/>
          <w:shd w:val="clear" w:color="auto" w:fill="FFFFFF"/>
        </w:rPr>
      </w:pPr>
      <w:r>
        <w:rPr>
          <w:color w:val="auto"/>
          <w:shd w:val="clear" w:color="auto" w:fill="FFFFFF"/>
        </w:rPr>
        <w:t xml:space="preserve">The commitment was substantially implemented </w:t>
      </w:r>
      <w:r w:rsidR="00615212">
        <w:rPr>
          <w:color w:val="auto"/>
          <w:shd w:val="clear" w:color="auto" w:fill="FFFFFF"/>
        </w:rPr>
        <w:t xml:space="preserve">by </w:t>
      </w:r>
      <w:r>
        <w:rPr>
          <w:color w:val="auto"/>
          <w:shd w:val="clear" w:color="auto" w:fill="FFFFFF"/>
        </w:rPr>
        <w:t>the end of term. In August 2017,</w:t>
      </w:r>
      <w:r w:rsidRPr="005B4D1E">
        <w:rPr>
          <w:color w:val="auto"/>
          <w:shd w:val="clear" w:color="auto" w:fill="FFFFFF"/>
        </w:rPr>
        <w:t xml:space="preserve"> the SPA launched </w:t>
      </w:r>
      <w:r>
        <w:rPr>
          <w:color w:val="auto"/>
          <w:shd w:val="clear" w:color="auto" w:fill="FFFFFF"/>
        </w:rPr>
        <w:t xml:space="preserve">a </w:t>
      </w:r>
      <w:r w:rsidRPr="005B4D1E">
        <w:rPr>
          <w:color w:val="auto"/>
          <w:shd w:val="clear" w:color="auto" w:fill="FFFFFF"/>
        </w:rPr>
        <w:t>separate webpage contai</w:t>
      </w:r>
      <w:r>
        <w:rPr>
          <w:color w:val="auto"/>
          <w:shd w:val="clear" w:color="auto" w:fill="FFFFFF"/>
        </w:rPr>
        <w:t xml:space="preserve">ning aggregated data on tenders, published In the JSON format. </w:t>
      </w:r>
      <w:r w:rsidRPr="005B4D1E">
        <w:rPr>
          <w:color w:val="auto"/>
          <w:shd w:val="clear" w:color="auto" w:fill="FFFFFF"/>
        </w:rPr>
        <w:t xml:space="preserve">As of </w:t>
      </w:r>
      <w:r>
        <w:rPr>
          <w:color w:val="auto"/>
          <w:shd w:val="clear" w:color="auto" w:fill="FFFFFF"/>
        </w:rPr>
        <w:t>October 2018, this webpage included</w:t>
      </w:r>
      <w:r w:rsidRPr="005B4D1E">
        <w:rPr>
          <w:color w:val="auto"/>
          <w:shd w:val="clear" w:color="auto" w:fill="FFFFFF"/>
        </w:rPr>
        <w:t xml:space="preserve"> the following information about </w:t>
      </w:r>
      <w:r w:rsidRPr="00B75CBB">
        <w:rPr>
          <w:color w:val="auto"/>
          <w:shd w:val="clear" w:color="auto" w:fill="FFFFFF"/>
        </w:rPr>
        <w:t>248</w:t>
      </w:r>
      <w:r>
        <w:rPr>
          <w:color w:val="auto"/>
          <w:shd w:val="clear" w:color="auto" w:fill="FFFFFF"/>
        </w:rPr>
        <w:t>,</w:t>
      </w:r>
      <w:r w:rsidRPr="00B75CBB">
        <w:rPr>
          <w:color w:val="auto"/>
          <w:shd w:val="clear" w:color="auto" w:fill="FFFFFF"/>
        </w:rPr>
        <w:t>154</w:t>
      </w:r>
      <w:r>
        <w:rPr>
          <w:color w:val="auto"/>
          <w:shd w:val="clear" w:color="auto" w:fill="FFFFFF"/>
        </w:rPr>
        <w:t xml:space="preserve"> tenders: number, type, dates,</w:t>
      </w:r>
      <w:r w:rsidRPr="005B4D1E">
        <w:rPr>
          <w:color w:val="auto"/>
          <w:shd w:val="clear" w:color="auto" w:fill="FFFFFF"/>
        </w:rPr>
        <w:t xml:space="preserve"> completion status</w:t>
      </w:r>
      <w:r>
        <w:rPr>
          <w:color w:val="auto"/>
          <w:shd w:val="clear" w:color="auto" w:fill="FFFFFF"/>
        </w:rPr>
        <w:t>, and potential value</w:t>
      </w:r>
      <w:r w:rsidRPr="005B4D1E">
        <w:rPr>
          <w:color w:val="auto"/>
          <w:shd w:val="clear" w:color="auto" w:fill="FFFFFF"/>
        </w:rPr>
        <w:t xml:space="preserve"> of tenders as well as </w:t>
      </w:r>
      <w:r>
        <w:rPr>
          <w:color w:val="auto"/>
          <w:shd w:val="clear" w:color="auto" w:fill="FFFFFF"/>
        </w:rPr>
        <w:t xml:space="preserve">names and ID codes of winning bidders and </w:t>
      </w:r>
      <w:r w:rsidRPr="005B4D1E">
        <w:rPr>
          <w:color w:val="auto"/>
          <w:shd w:val="clear" w:color="auto" w:fill="FFFFFF"/>
        </w:rPr>
        <w:t>procuring entities.</w:t>
      </w:r>
      <w:r>
        <w:rPr>
          <w:rStyle w:val="EndnoteReference"/>
          <w:color w:val="auto"/>
          <w:shd w:val="clear" w:color="auto" w:fill="FFFFFF"/>
        </w:rPr>
        <w:endnoteReference w:id="60"/>
      </w:r>
      <w:r>
        <w:rPr>
          <w:color w:val="auto"/>
          <w:shd w:val="clear" w:color="auto" w:fill="FFFFFF"/>
        </w:rPr>
        <w:t xml:space="preserve"> However, the SPA did not update the e-Plan module</w:t>
      </w:r>
      <w:r w:rsidR="00B67F39">
        <w:rPr>
          <w:color w:val="auto"/>
          <w:shd w:val="clear" w:color="auto" w:fill="FFFFFF"/>
        </w:rPr>
        <w:t xml:space="preserve">, </w:t>
      </w:r>
      <w:r w:rsidR="00B67F39">
        <w:t xml:space="preserve">which </w:t>
      </w:r>
      <w:r w:rsidR="00B67F39">
        <w:rPr>
          <w:rFonts w:cs="Calibri"/>
        </w:rPr>
        <w:t xml:space="preserve">includes </w:t>
      </w:r>
      <w:r w:rsidR="00B67F39" w:rsidRPr="00607E89">
        <w:rPr>
          <w:rFonts w:cs="Calibri"/>
        </w:rPr>
        <w:t>annual purchase plan</w:t>
      </w:r>
      <w:r w:rsidR="00B67F39">
        <w:rPr>
          <w:rFonts w:cs="Calibri"/>
        </w:rPr>
        <w:t>s</w:t>
      </w:r>
      <w:r w:rsidR="00B67F39" w:rsidRPr="00607E89">
        <w:rPr>
          <w:rFonts w:cs="Calibri"/>
        </w:rPr>
        <w:t xml:space="preserve"> of </w:t>
      </w:r>
      <w:r w:rsidR="00B67F39">
        <w:rPr>
          <w:rFonts w:cs="Calibri"/>
        </w:rPr>
        <w:t>procuring entities,</w:t>
      </w:r>
      <w:r>
        <w:rPr>
          <w:color w:val="auto"/>
          <w:shd w:val="clear" w:color="auto" w:fill="FFFFFF"/>
        </w:rPr>
        <w:t xml:space="preserve"> to integrate it with its new open data format and to make the available data more accessible to public. As of October 2018, the e-Plan module continued to be hosted by the SPA’s main webpage. It contains 23,734 data entries on annual procurement plans of procuring entities, specifically the data on the procurement object, type of tender, its potential value, sources of financing and the responsible person for the data provided.</w:t>
      </w:r>
      <w:r>
        <w:rPr>
          <w:rStyle w:val="EndnoteReference"/>
          <w:color w:val="auto"/>
          <w:shd w:val="clear" w:color="auto" w:fill="FFFFFF"/>
        </w:rPr>
        <w:endnoteReference w:id="61"/>
      </w:r>
      <w:r>
        <w:rPr>
          <w:color w:val="auto"/>
          <w:shd w:val="clear" w:color="auto" w:fill="FFFFFF"/>
        </w:rPr>
        <w:t xml:space="preserve"> Finally, the SPA continued to update the pre-existing e-Market module </w:t>
      </w:r>
      <w:r>
        <w:t>with the information about suppliers, their products, prices, warranty terms and the shipment location.</w:t>
      </w:r>
      <w:r>
        <w:rPr>
          <w:rStyle w:val="EndnoteReference"/>
        </w:rPr>
        <w:endnoteReference w:id="62"/>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rsidR="00617421" w:rsidRDefault="00617421" w:rsidP="00F26B4A">
      <w:pPr>
        <w:rPr>
          <w:b/>
          <w:color w:val="000000" w:themeColor="text1"/>
        </w:rPr>
      </w:pPr>
      <w:r w:rsidRPr="004B1C12">
        <w:rPr>
          <w:b/>
          <w:color w:val="000000" w:themeColor="text1"/>
        </w:rPr>
        <w:t>Access to I</w:t>
      </w:r>
      <w:r>
        <w:rPr>
          <w:b/>
          <w:color w:val="000000" w:themeColor="text1"/>
        </w:rPr>
        <w:t>nformation: Marginal</w:t>
      </w:r>
    </w:p>
    <w:p w:rsidR="00617421" w:rsidRDefault="00617421" w:rsidP="00F26B4A">
      <w:pPr>
        <w:rPr>
          <w:b/>
          <w:color w:val="000000" w:themeColor="text1"/>
        </w:rPr>
      </w:pPr>
    </w:p>
    <w:p w:rsidR="00617421" w:rsidRPr="0086662E" w:rsidRDefault="007D65D1" w:rsidP="00F103A1">
      <w:pPr>
        <w:pStyle w:val="Normalrglronly"/>
        <w:rPr>
          <w:color w:val="auto"/>
          <w:shd w:val="clear" w:color="auto" w:fill="FFFFFF"/>
        </w:rPr>
      </w:pPr>
      <w:r>
        <w:t>T</w:t>
      </w:r>
      <w:r w:rsidR="008629F4">
        <w:t>h</w:t>
      </w:r>
      <w:r w:rsidR="00DB3072">
        <w:t xml:space="preserve">e government publishes its procurement tenders on a unified electronic portal, </w:t>
      </w:r>
      <w:r>
        <w:t xml:space="preserve">procurement.gov.ge, which contains a lot of data on tenders and beyond and requires the opening of multiple pages in order to access the data needed. By </w:t>
      </w:r>
      <w:r>
        <w:rPr>
          <w:color w:val="auto"/>
          <w:shd w:val="clear" w:color="auto" w:fill="FFFFFF"/>
        </w:rPr>
        <w:t>launching</w:t>
      </w:r>
      <w:r w:rsidRPr="005B4D1E">
        <w:rPr>
          <w:color w:val="auto"/>
          <w:shd w:val="clear" w:color="auto" w:fill="FFFFFF"/>
        </w:rPr>
        <w:t xml:space="preserve"> </w:t>
      </w:r>
      <w:r>
        <w:rPr>
          <w:color w:val="auto"/>
          <w:shd w:val="clear" w:color="auto" w:fill="FFFFFF"/>
        </w:rPr>
        <w:t xml:space="preserve">a </w:t>
      </w:r>
      <w:r w:rsidR="00C41220">
        <w:rPr>
          <w:color w:val="auto"/>
          <w:shd w:val="clear" w:color="auto" w:fill="FFFFFF"/>
        </w:rPr>
        <w:t>separate portal</w:t>
      </w:r>
      <w:r w:rsidRPr="005B4D1E">
        <w:rPr>
          <w:color w:val="auto"/>
          <w:shd w:val="clear" w:color="auto" w:fill="FFFFFF"/>
        </w:rPr>
        <w:t xml:space="preserve"> contai</w:t>
      </w:r>
      <w:r>
        <w:rPr>
          <w:color w:val="auto"/>
          <w:shd w:val="clear" w:color="auto" w:fill="FFFFFF"/>
        </w:rPr>
        <w:t xml:space="preserve">ning aggregated </w:t>
      </w:r>
      <w:r w:rsidR="008B62CC">
        <w:rPr>
          <w:color w:val="auto"/>
          <w:shd w:val="clear" w:color="auto" w:fill="FFFFFF"/>
        </w:rPr>
        <w:t xml:space="preserve">and more detailed </w:t>
      </w:r>
      <w:r>
        <w:rPr>
          <w:color w:val="auto"/>
          <w:shd w:val="clear" w:color="auto" w:fill="FFFFFF"/>
        </w:rPr>
        <w:t>data on tenders</w:t>
      </w:r>
      <w:r w:rsidR="008B62CC">
        <w:rPr>
          <w:color w:val="auto"/>
          <w:shd w:val="clear" w:color="auto" w:fill="FFFFFF"/>
        </w:rPr>
        <w:t xml:space="preserve"> </w:t>
      </w:r>
      <w:r w:rsidR="00C41220">
        <w:rPr>
          <w:color w:val="auto"/>
          <w:shd w:val="clear" w:color="auto" w:fill="FFFFFF"/>
        </w:rPr>
        <w:t xml:space="preserve">on a single page and </w:t>
      </w:r>
      <w:r>
        <w:rPr>
          <w:color w:val="auto"/>
          <w:shd w:val="clear" w:color="auto" w:fill="FFFFFF"/>
        </w:rPr>
        <w:t>in the open data format</w:t>
      </w:r>
      <w:r w:rsidR="008B62CC">
        <w:rPr>
          <w:color w:val="auto"/>
          <w:shd w:val="clear" w:color="auto" w:fill="FFFFFF"/>
        </w:rPr>
        <w:t>,</w:t>
      </w:r>
      <w:r>
        <w:rPr>
          <w:color w:val="auto"/>
          <w:shd w:val="clear" w:color="auto" w:fill="FFFFFF"/>
        </w:rPr>
        <w:t xml:space="preserve"> </w:t>
      </w:r>
      <w:r>
        <w:t xml:space="preserve">the government has showed its commitment to complying with open contracting requirements </w:t>
      </w:r>
      <w:r w:rsidR="008B62CC">
        <w:t xml:space="preserve">to make the tender data more easily accessible to citizens. However, CSOs are critical of the fact that </w:t>
      </w:r>
      <w:r w:rsidR="00617421">
        <w:rPr>
          <w:color w:val="auto"/>
          <w:shd w:val="clear" w:color="auto" w:fill="FFFFFF"/>
        </w:rPr>
        <w:t xml:space="preserve">the SPA’s new </w:t>
      </w:r>
      <w:r w:rsidR="008B62CC">
        <w:rPr>
          <w:color w:val="auto"/>
          <w:shd w:val="clear" w:color="auto" w:fill="FFFFFF"/>
        </w:rPr>
        <w:t xml:space="preserve">open data </w:t>
      </w:r>
      <w:r w:rsidR="00617421">
        <w:rPr>
          <w:color w:val="auto"/>
          <w:shd w:val="clear" w:color="auto" w:fill="FFFFFF"/>
        </w:rPr>
        <w:t xml:space="preserve">portals have not </w:t>
      </w:r>
      <w:r w:rsidR="00617421" w:rsidRPr="005B4D1E">
        <w:rPr>
          <w:color w:val="auto"/>
          <w:shd w:val="clear" w:color="auto" w:fill="FFFFFF"/>
        </w:rPr>
        <w:t xml:space="preserve">been promoted to the public and </w:t>
      </w:r>
      <w:r w:rsidR="00617421">
        <w:rPr>
          <w:color w:val="auto"/>
          <w:shd w:val="clear" w:color="auto" w:fill="FFFFFF"/>
        </w:rPr>
        <w:t xml:space="preserve">only a handful of stakeholders engaged actively in monitoring the public procurement processes are aware of their </w:t>
      </w:r>
      <w:r w:rsidR="00617421" w:rsidRPr="005B4D1E">
        <w:rPr>
          <w:color w:val="auto"/>
          <w:shd w:val="clear" w:color="auto" w:fill="FFFFFF"/>
        </w:rPr>
        <w:t>existence</w:t>
      </w:r>
      <w:r w:rsidR="00617421">
        <w:rPr>
          <w:color w:val="auto"/>
          <w:shd w:val="clear" w:color="auto" w:fill="FFFFFF"/>
        </w:rPr>
        <w:t xml:space="preserve">. Furthermore, </w:t>
      </w:r>
      <w:r w:rsidR="008B62CC">
        <w:rPr>
          <w:color w:val="auto"/>
          <w:shd w:val="clear" w:color="auto" w:fill="FFFFFF"/>
        </w:rPr>
        <w:t xml:space="preserve">CSOs </w:t>
      </w:r>
      <w:r w:rsidR="00617421">
        <w:rPr>
          <w:color w:val="auto"/>
          <w:shd w:val="clear" w:color="auto" w:fill="FFFFFF"/>
        </w:rPr>
        <w:t xml:space="preserve">think that the aggregated data on tenders contain limited number of filters to allow for deeper analysis of the content provided. </w:t>
      </w:r>
      <w:r w:rsidR="00CF2451">
        <w:rPr>
          <w:color w:val="auto"/>
          <w:shd w:val="clear" w:color="auto" w:fill="FFFFFF"/>
        </w:rPr>
        <w:t xml:space="preserve">The </w:t>
      </w:r>
      <w:r w:rsidR="00617421">
        <w:rPr>
          <w:color w:val="auto"/>
          <w:shd w:val="clear" w:color="auto" w:fill="FFFFFF"/>
        </w:rPr>
        <w:t xml:space="preserve">data </w:t>
      </w:r>
      <w:r w:rsidR="00CF2451">
        <w:rPr>
          <w:color w:val="auto"/>
          <w:shd w:val="clear" w:color="auto" w:fill="FFFFFF"/>
        </w:rPr>
        <w:t xml:space="preserve">is not </w:t>
      </w:r>
      <w:r w:rsidR="00617421">
        <w:rPr>
          <w:color w:val="auto"/>
          <w:shd w:val="clear" w:color="auto" w:fill="FFFFFF"/>
        </w:rPr>
        <w:t>linked to other related databases</w:t>
      </w:r>
      <w:r w:rsidR="00CF2451">
        <w:rPr>
          <w:color w:val="auto"/>
          <w:shd w:val="clear" w:color="auto" w:fill="FFFFFF"/>
        </w:rPr>
        <w:t>, and</w:t>
      </w:r>
      <w:r w:rsidR="00617421">
        <w:rPr>
          <w:color w:val="auto"/>
          <w:shd w:val="clear" w:color="auto" w:fill="FFFFFF"/>
        </w:rPr>
        <w:t xml:space="preserve"> some important details about sub-contractors, for instance, are missing. Further, with the data being published in JSON format, </w:t>
      </w:r>
      <w:r w:rsidR="00617421">
        <w:rPr>
          <w:color w:val="auto"/>
          <w:shd w:val="clear" w:color="auto" w:fill="FFFFFF"/>
        </w:rPr>
        <w:lastRenderedPageBreak/>
        <w:t>regular users are not able to access it without special computer software. The stakeholders suggest the SPA to consider publishing data in CSV format instead. Finally, the SPA does not provide an Application Programming Interface (API) to interested organizations to link their portals, such as tendermonitor.ge, to the new SPA webpage.</w:t>
      </w:r>
      <w:r w:rsidR="00617421">
        <w:rPr>
          <w:rStyle w:val="EndnoteReference"/>
          <w:color w:val="auto"/>
          <w:shd w:val="clear" w:color="auto" w:fill="FFFFFF"/>
        </w:rPr>
        <w:endnoteReference w:id="63"/>
      </w:r>
      <w:r w:rsidR="00617421">
        <w:rPr>
          <w:color w:val="auto"/>
          <w:shd w:val="clear" w:color="auto" w:fill="FFFFFF"/>
        </w:rPr>
        <w:t xml:space="preserve"> Based on the aforementioned findings, the IRM researcher assesses this commitment as having a marginal impact on improving access to information in the public procurement field. </w:t>
      </w:r>
    </w:p>
    <w:p w:rsidR="00617421" w:rsidRDefault="00617421" w:rsidP="00FE5928">
      <w:pPr>
        <w:pStyle w:val="Heading3"/>
      </w:pPr>
      <w:r w:rsidRPr="0010229D">
        <w:t xml:space="preserve">Carried </w:t>
      </w:r>
      <w:r w:rsidRPr="004B1C12">
        <w:t>F</w:t>
      </w:r>
      <w:r w:rsidRPr="0010229D">
        <w:t>orward?</w:t>
      </w:r>
    </w:p>
    <w:p w:rsidR="00617421" w:rsidRDefault="007F33A1" w:rsidP="00F103A1">
      <w:r w:rsidRPr="00407534">
        <w:rPr>
          <w:color w:val="000000" w:themeColor="text1"/>
        </w:rPr>
        <w:t>The commitment was carried into the new Action Plan 2018-20</w:t>
      </w:r>
      <w:r w:rsidR="00341A48">
        <w:rPr>
          <w:color w:val="000000" w:themeColor="text1"/>
        </w:rPr>
        <w:t>19</w:t>
      </w:r>
      <w:r>
        <w:rPr>
          <w:color w:val="000000" w:themeColor="text1"/>
        </w:rPr>
        <w:t>.</w:t>
      </w:r>
      <w:r w:rsidR="00617421">
        <w:rPr>
          <w:lang w:val="en-GB"/>
        </w:rPr>
        <w:t xml:space="preserve"> </w:t>
      </w:r>
      <w:r w:rsidR="00341A48">
        <w:rPr>
          <w:lang w:val="en-GB"/>
        </w:rPr>
        <w:t xml:space="preserve">Under </w:t>
      </w:r>
      <w:r>
        <w:rPr>
          <w:lang w:val="en-GB"/>
        </w:rPr>
        <w:t>C</w:t>
      </w:r>
      <w:r w:rsidR="00617421">
        <w:rPr>
          <w:lang w:val="en-GB"/>
        </w:rPr>
        <w:t>ommitment #1</w:t>
      </w:r>
      <w:r w:rsidR="00BA441F">
        <w:rPr>
          <w:lang w:val="en-GB"/>
        </w:rPr>
        <w:t>3</w:t>
      </w:r>
      <w:r w:rsidR="00617421">
        <w:rPr>
          <w:lang w:val="en-GB"/>
        </w:rPr>
        <w:t xml:space="preserve"> </w:t>
      </w:r>
      <w:r w:rsidR="00341A48">
        <w:rPr>
          <w:lang w:val="en-GB"/>
        </w:rPr>
        <w:t xml:space="preserve">in </w:t>
      </w:r>
      <w:r w:rsidR="00617421">
        <w:rPr>
          <w:lang w:val="en-GB"/>
        </w:rPr>
        <w:t xml:space="preserve">the </w:t>
      </w:r>
      <w:r>
        <w:rPr>
          <w:lang w:val="en-GB"/>
        </w:rPr>
        <w:t>new</w:t>
      </w:r>
      <w:r w:rsidR="00617421">
        <w:rPr>
          <w:lang w:val="en-GB"/>
        </w:rPr>
        <w:t xml:space="preserve"> action plan</w:t>
      </w:r>
      <w:r w:rsidR="00341A48">
        <w:rPr>
          <w:lang w:val="en-GB"/>
        </w:rPr>
        <w:t xml:space="preserve">, </w:t>
      </w:r>
      <w:r w:rsidR="00617421">
        <w:rPr>
          <w:lang w:val="en-GB"/>
        </w:rPr>
        <w:t xml:space="preserve">the SPA plans to integrate the e-Plan module and annual procurement plans of procuring entities into the new database of aggregated tenders at </w:t>
      </w:r>
      <w:hyperlink r:id="rId22" w:anchor="/" w:history="1">
        <w:r w:rsidR="00617421" w:rsidRPr="008E5E74">
          <w:rPr>
            <w:rStyle w:val="Hyperlink"/>
            <w:lang w:val="en-GB"/>
          </w:rPr>
          <w:t>http://opendata.spa.ge/#/</w:t>
        </w:r>
      </w:hyperlink>
      <w:r w:rsidR="00617421">
        <w:rPr>
          <w:lang w:val="en-GB"/>
        </w:rPr>
        <w:t xml:space="preserve"> and to publish this data in open data format. They also commit to publishing more details on the tenders and adding more filters for their deeper analysis and updating this data on a regular basis. Finally, the SPA plans to provide an API to registered users of its new open data portal and redesign the portal to align it better with the open contracting data standard.</w:t>
      </w:r>
      <w:r w:rsidR="00617421">
        <w:rPr>
          <w:rStyle w:val="EndnoteReference"/>
          <w:lang w:val="en-GB"/>
        </w:rPr>
        <w:endnoteReference w:id="64"/>
      </w:r>
      <w:r w:rsidR="00617421">
        <w:rPr>
          <w:lang w:val="en-GB"/>
        </w:rPr>
        <w:t xml:space="preserve"> For their part, stakeholders recommended </w:t>
      </w:r>
      <w:r w:rsidR="00617421">
        <w:t>the government to limit the number of exemptions from the e-procurement system and to introduce a threshold on the value of tenders that can be processed under the simplified procurement rules while imposing additional regulations for the tenders that exceed this threshold. This would</w:t>
      </w:r>
      <w:r w:rsidR="007A6321">
        <w:t xml:space="preserve"> help to</w:t>
      </w:r>
      <w:r w:rsidR="00617421">
        <w:t xml:space="preserve"> prevent corruption and further </w:t>
      </w:r>
      <w:r w:rsidR="007A6321">
        <w:t>increase</w:t>
      </w:r>
      <w:r w:rsidR="00617421">
        <w:t xml:space="preserve"> the transparency of the public procurement system. </w:t>
      </w:r>
    </w:p>
    <w:p w:rsidR="00617421" w:rsidRDefault="00617421">
      <w:pPr>
        <w:tabs>
          <w:tab w:val="clear" w:pos="2880"/>
        </w:tabs>
        <w:rPr>
          <w:rFonts w:eastAsiaTheme="majorEastAsia"/>
          <w:b/>
          <w:bCs/>
          <w:color w:val="1F497D" w:themeColor="text2"/>
          <w:sz w:val="26"/>
          <w:szCs w:val="26"/>
        </w:rPr>
      </w:pPr>
      <w:bookmarkStart w:id="57" w:name="_Toc525759438"/>
      <w:r>
        <w:br w:type="page"/>
      </w:r>
    </w:p>
    <w:p w:rsidR="00617421" w:rsidRDefault="00617421" w:rsidP="00821026">
      <w:pPr>
        <w:pStyle w:val="Heading2"/>
        <w:rPr>
          <w:rFonts w:ascii="MS Mincho" w:eastAsia="MS Mincho" w:hAnsi="MS Mincho" w:cs="MS Mincho"/>
          <w:b w:val="0"/>
          <w:noProof/>
        </w:rPr>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A45129" w:rsidRDefault="00A45129" w:rsidP="00821026">
      <w:pPr>
        <w:pStyle w:val="Heading2"/>
        <w:rPr>
          <w:rFonts w:ascii="MS Mincho" w:eastAsia="MS Mincho" w:hAnsi="MS Mincho" w:cs="MS Mincho"/>
          <w:b w:val="0"/>
          <w:noProof/>
        </w:rPr>
        <w:sectPr w:rsidR="00A45129"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617421" w:rsidRPr="004B1C12" w:rsidRDefault="00617421" w:rsidP="00821026">
      <w:pPr>
        <w:pStyle w:val="Heading2"/>
        <w:rPr>
          <w:b w:val="0"/>
        </w:rPr>
      </w:pPr>
      <w:bookmarkStart w:id="58" w:name="_Toc409220388"/>
      <w:r w:rsidRPr="0060114D">
        <w:rPr>
          <w:rFonts w:ascii="MS Mincho" w:eastAsia="MS Mincho" w:hAnsi="MS Mincho" w:cs="MS Mincho"/>
          <w:b w:val="0"/>
          <w:noProof/>
        </w:rPr>
        <w:lastRenderedPageBreak/>
        <w:t>✪</w:t>
      </w:r>
      <w:r>
        <w:t>16</w:t>
      </w:r>
      <w:r w:rsidRPr="004B1C12">
        <w:t xml:space="preserve">. </w:t>
      </w:r>
      <w:bookmarkEnd w:id="57"/>
      <w:r w:rsidRPr="001821B2">
        <w:t xml:space="preserve">Adoption of the Environmental Assessment </w:t>
      </w:r>
      <w:r>
        <w:t>Code</w:t>
      </w:r>
      <w:bookmarkEnd w:id="58"/>
    </w:p>
    <w:p w:rsidR="00617421" w:rsidRDefault="00617421" w:rsidP="00821026">
      <w:pPr>
        <w:pStyle w:val="Normalrglronly"/>
        <w:rPr>
          <w:b/>
        </w:rPr>
      </w:pPr>
      <w:r w:rsidRPr="004B1C12">
        <w:rPr>
          <w:b/>
        </w:rPr>
        <w:t>Commitment Text:</w:t>
      </w:r>
    </w:p>
    <w:p w:rsidR="00617421" w:rsidRDefault="00617421" w:rsidP="00821026">
      <w:pPr>
        <w:pStyle w:val="APQuotefeaturetol"/>
      </w:pPr>
      <w:r>
        <w:t>This commitment implies adoption of the environmental assessment code that will envisage the requirements of the convention “on Access to Information, Public Participation in Decision-Making and Access to Justice in Environmental Matters” (hereafter, Aarhus Convention) in the environmental protection issues and will ensure public participation in the decision-making process in relation with effects on the environment, particularly:</w:t>
      </w:r>
    </w:p>
    <w:p w:rsidR="00617421" w:rsidRDefault="00617421" w:rsidP="00821026">
      <w:pPr>
        <w:pStyle w:val="APQuotefeaturetol"/>
        <w:numPr>
          <w:ilvl w:val="0"/>
          <w:numId w:val="15"/>
        </w:numPr>
      </w:pPr>
      <w:r>
        <w:rPr>
          <w:sz w:val="14"/>
          <w:szCs w:val="14"/>
        </w:rPr>
        <w:t xml:space="preserve"> </w:t>
      </w:r>
      <w:r>
        <w:t>to bring potential negative impact of high risk activities on the condition of the natural environment, as well as on human life and health under the environment assessment regulation, in compliance with the requirements of EU directive 2011/92/EC “on the assessment of the effects of certain public and private projects on environment”;</w:t>
      </w:r>
    </w:p>
    <w:p w:rsidR="00617421" w:rsidRDefault="00617421" w:rsidP="00821026">
      <w:pPr>
        <w:pStyle w:val="APQuotefeaturetol"/>
        <w:numPr>
          <w:ilvl w:val="0"/>
          <w:numId w:val="15"/>
        </w:numPr>
      </w:pPr>
      <w:r>
        <w:t>·Public participation in the elaboration and adoption process of bylaws (strategic documents) regulating activities that might have potential impact on natural environment and human life and health as well, dissemination of the information through printing media and electronically at the initial stage of the elaboration of strategic documents, involvement of public and scientific opinion in the process of public discussions conducted for the purposes of elaboration above mentioned documents;</w:t>
      </w:r>
    </w:p>
    <w:p w:rsidR="00617421" w:rsidRDefault="00617421" w:rsidP="00821026">
      <w:pPr>
        <w:pStyle w:val="APQuotefeaturetol"/>
        <w:numPr>
          <w:ilvl w:val="0"/>
          <w:numId w:val="15"/>
        </w:numPr>
      </w:pPr>
      <w:r>
        <w:t>Environmental decision-making, public engagement at the initial stage according to the principles of public administrative proceedings. Publication of information on the place of planned activities, as well as electronically and through printing media, conducting public discussions on the place of planned activity, consideration of proposals and opinions during the decision-making process.</w:t>
      </w:r>
    </w:p>
    <w:p w:rsidR="00617421" w:rsidRDefault="00617421" w:rsidP="00821026"/>
    <w:p w:rsidR="00617421" w:rsidRPr="007D07EA" w:rsidRDefault="00617421" w:rsidP="00821026">
      <w:pPr>
        <w:pStyle w:val="Normalrglronly"/>
      </w:pPr>
      <w:r w:rsidRPr="007D07EA">
        <w:t>Responsible institution(s): Ministry of Environment and Natural Resources Protection of Georgia</w:t>
      </w:r>
    </w:p>
    <w:p w:rsidR="00617421" w:rsidRPr="007D07EA" w:rsidRDefault="00617421" w:rsidP="00821026">
      <w:pPr>
        <w:pStyle w:val="Normalrglronly"/>
      </w:pPr>
      <w:r w:rsidRPr="007D07EA">
        <w:t>Supporting institution(s): Financial support – EU, program “Greening Economies in the European Union’s Eastern Partnership (EaP) Countries“ – EaP GREEN; program implementer UN Economic Commission for Europe–UNECE</w:t>
      </w:r>
    </w:p>
    <w:p w:rsidR="00617421" w:rsidRPr="00CB71BB" w:rsidRDefault="00617421" w:rsidP="00821026">
      <w:pPr>
        <w:spacing w:after="120"/>
        <w:rPr>
          <w:szCs w:val="22"/>
        </w:rPr>
      </w:pPr>
      <w:r w:rsidRPr="00CB71BB">
        <w:rPr>
          <w:szCs w:val="22"/>
        </w:rPr>
        <w:t>Start date: Not provided</w:t>
      </w:r>
      <w:r w:rsidRPr="00CB71BB">
        <w:rPr>
          <w:szCs w:val="22"/>
        </w:rPr>
        <w:tab/>
        <w:t xml:space="preserve">          End date: August 2017</w:t>
      </w:r>
    </w:p>
    <w:p w:rsidR="00617421" w:rsidRDefault="00617421" w:rsidP="00821026">
      <w:pPr>
        <w:spacing w:after="120"/>
        <w:rPr>
          <w:szCs w:val="22"/>
        </w:rPr>
      </w:pPr>
      <w:r w:rsidRPr="00CB71BB">
        <w:rPr>
          <w:szCs w:val="22"/>
        </w:rPr>
        <w:t>Specificity: high; OGP values: access to info, civic particiption; impact: transormative; on time: yes; completion: substantial.</w:t>
      </w:r>
      <w:r>
        <w:rPr>
          <w:szCs w:val="22"/>
        </w:rPr>
        <w:t xml:space="preserve"> </w:t>
      </w:r>
    </w:p>
    <w:tbl>
      <w:tblPr>
        <w:tblW w:w="1097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617421" w:rsidRPr="006E7C15"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6E7C15" w:rsidRDefault="00617421" w:rsidP="008754DA">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6E7C15" w:rsidRDefault="00617421" w:rsidP="008754DA">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rsidR="00617421" w:rsidRPr="006E7C15" w:rsidRDefault="00617421" w:rsidP="008754DA">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6E7C15" w:rsidRDefault="00617421" w:rsidP="008754DA">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6E7C15" w:rsidRDefault="00617421" w:rsidP="008754DA">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6E7C15" w:rsidRDefault="00617421" w:rsidP="008754DA">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6E7C15" w:rsidRDefault="00617421" w:rsidP="008754DA">
            <w:r w:rsidRPr="006E7C15">
              <w:t>Did It Open Government?</w:t>
            </w:r>
          </w:p>
        </w:tc>
      </w:tr>
      <w:tr w:rsidR="00617421" w:rsidRPr="006E7C15" w:rsidTr="00E60731">
        <w:trPr>
          <w:trHeight w:val="373"/>
        </w:trPr>
        <w:tc>
          <w:tcPr>
            <w:tcW w:w="1596" w:type="dxa"/>
            <w:vMerge/>
            <w:tcBorders>
              <w:left w:val="single" w:sz="4" w:space="0" w:color="FFFFFF"/>
              <w:right w:val="single" w:sz="18" w:space="0" w:color="FFFFFF"/>
            </w:tcBorders>
            <w:shd w:val="clear" w:color="auto" w:fill="000000"/>
            <w:vAlign w:val="center"/>
          </w:tcPr>
          <w:p w:rsidR="00617421" w:rsidRPr="006E7C15" w:rsidRDefault="00617421" w:rsidP="008754DA">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6E7C15" w:rsidRDefault="00617421" w:rsidP="008754DA"/>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rsidR="00617421" w:rsidRPr="006E7C15" w:rsidRDefault="00617421" w:rsidP="008754DA"/>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6E7C15" w:rsidRDefault="00617421" w:rsidP="008754DA"/>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6E7C15" w:rsidRDefault="00617421" w:rsidP="008754DA"/>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6E7C15" w:rsidRDefault="00617421" w:rsidP="008754DA">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6E7C15" w:rsidRDefault="00617421" w:rsidP="008754DA"/>
        </w:tc>
      </w:tr>
      <w:tr w:rsidR="00617421" w:rsidRPr="006E7C15"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6E7C15" w:rsidRDefault="00617421" w:rsidP="008754DA">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6E7C15" w:rsidRDefault="00617421" w:rsidP="008754DA">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8754DA">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8754DA">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6E7C15" w:rsidRDefault="00617421" w:rsidP="008754DA">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8754DA">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8754DA">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8754DA">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6E7C15" w:rsidRDefault="00617421" w:rsidP="008754DA">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6E7C15" w:rsidRDefault="00617421" w:rsidP="008754DA">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8754DA">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8754DA">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6E7C15" w:rsidRDefault="00617421" w:rsidP="008754DA">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6E7C15" w:rsidRDefault="00617421" w:rsidP="008754DA">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8754DA">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8754DA">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6E7C15" w:rsidRDefault="00617421" w:rsidP="008754DA">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6E7C15" w:rsidRDefault="00617421" w:rsidP="008754DA">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8754DA">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8754DA">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8754DA">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6E7C15" w:rsidRDefault="00617421" w:rsidP="008754DA">
            <w:r w:rsidRPr="006E7C15">
              <w:t>Outstanding</w:t>
            </w:r>
          </w:p>
        </w:tc>
      </w:tr>
      <w:tr w:rsidR="00617421" w:rsidRPr="006E7C15" w:rsidTr="00E60731">
        <w:trPr>
          <w:trHeight w:val="733"/>
        </w:trPr>
        <w:tc>
          <w:tcPr>
            <w:tcW w:w="1596" w:type="dxa"/>
            <w:vMerge w:val="restart"/>
            <w:tcBorders>
              <w:top w:val="single" w:sz="18" w:space="0" w:color="FFFFFF"/>
              <w:left w:val="single" w:sz="4" w:space="0" w:color="FFFFFF"/>
            </w:tcBorders>
            <w:shd w:val="clear" w:color="auto" w:fill="000000"/>
            <w:vAlign w:val="center"/>
          </w:tcPr>
          <w:p w:rsidR="00617421" w:rsidRPr="006E7C15" w:rsidRDefault="00617421" w:rsidP="008754DA">
            <w:pPr>
              <w:rPr>
                <w:color w:val="FFFFFF" w:themeColor="background1"/>
              </w:rPr>
            </w:pPr>
            <w:r w:rsidRPr="00505B0A">
              <w:rPr>
                <w:rFonts w:ascii="Segoe UI Symbol" w:hAnsi="Segoe UI Symbol" w:cs="Segoe UI Symbol"/>
                <w:color w:val="FFFFFF" w:themeColor="background1"/>
              </w:rPr>
              <w:lastRenderedPageBreak/>
              <w:t>✪</w:t>
            </w:r>
            <w:r w:rsidRPr="001821B2">
              <w:rPr>
                <w:color w:val="FFFFFF" w:themeColor="background1"/>
              </w:rPr>
              <w:t>16. Adoption of the Environmental Assessment Code</w:t>
            </w:r>
          </w:p>
        </w:tc>
        <w:tc>
          <w:tcPr>
            <w:tcW w:w="445" w:type="dxa"/>
            <w:vMerge w:val="restart"/>
            <w:tcBorders>
              <w:top w:val="single" w:sz="18" w:space="0" w:color="FFFFFF"/>
              <w:right w:val="single" w:sz="2" w:space="0" w:color="FFFFFF"/>
            </w:tcBorders>
            <w:shd w:val="clear" w:color="auto" w:fill="D6E3BC"/>
            <w:vAlign w:val="center"/>
          </w:tcPr>
          <w:p w:rsidR="00617421" w:rsidRPr="006E7C15" w:rsidRDefault="00617421" w:rsidP="008754DA"/>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8754DA"/>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8754DA"/>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6E7C15" w:rsidRDefault="00617421" w:rsidP="008754DA">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8754DA">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8754DA">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8754DA">
            <w:pPr>
              <w:jc w:val="center"/>
            </w:pPr>
          </w:p>
        </w:tc>
        <w:tc>
          <w:tcPr>
            <w:tcW w:w="498" w:type="dxa"/>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8754DA">
            <w:pPr>
              <w:jc w:val="center"/>
            </w:pP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6E7C15" w:rsidRDefault="00617421" w:rsidP="008754DA"/>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8754DA"/>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8754DA"/>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6E7C15" w:rsidRDefault="00617421" w:rsidP="008754DA">
            <w:r w:rsidRPr="006E7C15">
              <w:rPr>
                <w:rFonts w:ascii="MS Mincho" w:eastAsia="MS Mincho" w:hAnsi="MS Mincho" w:cs="MS Mincho"/>
                <w:sz w:val="20"/>
              </w:rPr>
              <w:t>✔</w:t>
            </w:r>
          </w:p>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617421" w:rsidRPr="006E7C15" w:rsidRDefault="00617421" w:rsidP="008754DA"/>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8754DA"/>
        </w:tc>
        <w:tc>
          <w:tcPr>
            <w:tcW w:w="63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rsidR="00617421" w:rsidRPr="006E7C15" w:rsidRDefault="00617421" w:rsidP="008754DA">
            <w:r w:rsidRPr="006E7C15">
              <w:rPr>
                <w:rFonts w:ascii="MS Mincho" w:eastAsia="MS Mincho" w:hAnsi="MS Mincho" w:cs="MS Mincho"/>
                <w:sz w:val="20"/>
              </w:rPr>
              <w:t>✔</w:t>
            </w:r>
          </w:p>
        </w:tc>
        <w:tc>
          <w:tcPr>
            <w:tcW w:w="461" w:type="dxa"/>
            <w:vMerge w:val="restart"/>
            <w:tcBorders>
              <w:top w:val="single" w:sz="18" w:space="0" w:color="FFFFFF"/>
              <w:left w:val="single" w:sz="4" w:space="0" w:color="FFFFFF" w:themeColor="background1"/>
              <w:right w:val="single" w:sz="18" w:space="0" w:color="FFFFFF"/>
            </w:tcBorders>
            <w:shd w:val="clear" w:color="auto" w:fill="B8CCE4"/>
            <w:vAlign w:val="center"/>
          </w:tcPr>
          <w:p w:rsidR="00617421" w:rsidRPr="006E7C15" w:rsidRDefault="00617421" w:rsidP="008754DA"/>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6E7C15" w:rsidRDefault="00617421" w:rsidP="008754DA"/>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8754DA"/>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8559D" w:rsidP="008754DA">
            <w:r w:rsidRPr="006E7C15">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8754DA"/>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6E7C15" w:rsidRDefault="00617421" w:rsidP="008754DA"/>
        </w:tc>
      </w:tr>
      <w:tr w:rsidR="00617421" w:rsidRPr="006E7C15" w:rsidTr="00E60731">
        <w:trPr>
          <w:trHeight w:val="732"/>
        </w:trPr>
        <w:tc>
          <w:tcPr>
            <w:tcW w:w="1596" w:type="dxa"/>
            <w:vMerge/>
            <w:tcBorders>
              <w:left w:val="single" w:sz="4" w:space="0" w:color="FFFFFF"/>
            </w:tcBorders>
            <w:shd w:val="clear" w:color="auto" w:fill="000000"/>
            <w:vAlign w:val="center"/>
          </w:tcPr>
          <w:p w:rsidR="00617421" w:rsidRPr="00505B0A" w:rsidRDefault="00617421" w:rsidP="008754DA">
            <w:pPr>
              <w:rPr>
                <w:rFonts w:ascii="Segoe UI Symbol" w:hAnsi="Segoe UI Symbol" w:cs="Segoe UI Symbol"/>
                <w:color w:val="FFFFFF" w:themeColor="background1"/>
              </w:rPr>
            </w:pPr>
          </w:p>
        </w:tc>
        <w:tc>
          <w:tcPr>
            <w:tcW w:w="445" w:type="dxa"/>
            <w:vMerge/>
            <w:tcBorders>
              <w:right w:val="single" w:sz="2" w:space="0" w:color="FFFFFF"/>
            </w:tcBorders>
            <w:shd w:val="clear" w:color="auto" w:fill="D6E3BC"/>
            <w:vAlign w:val="center"/>
          </w:tcPr>
          <w:p w:rsidR="00617421" w:rsidRPr="006E7C15" w:rsidRDefault="00617421" w:rsidP="008754DA"/>
        </w:tc>
        <w:tc>
          <w:tcPr>
            <w:tcW w:w="451" w:type="dxa"/>
            <w:vMerge/>
            <w:tcBorders>
              <w:left w:val="single" w:sz="2" w:space="0" w:color="FFFFFF"/>
              <w:right w:val="single" w:sz="2" w:space="0" w:color="FFFFFF"/>
            </w:tcBorders>
            <w:shd w:val="clear" w:color="auto" w:fill="D6E3BC"/>
            <w:vAlign w:val="center"/>
          </w:tcPr>
          <w:p w:rsidR="00617421" w:rsidRPr="006E7C15" w:rsidRDefault="00617421" w:rsidP="008754DA"/>
        </w:tc>
        <w:tc>
          <w:tcPr>
            <w:tcW w:w="362" w:type="dxa"/>
            <w:vMerge/>
            <w:tcBorders>
              <w:left w:val="single" w:sz="2" w:space="0" w:color="FFFFFF"/>
              <w:right w:val="single" w:sz="2" w:space="0" w:color="FFFFFF"/>
            </w:tcBorders>
            <w:shd w:val="clear" w:color="auto" w:fill="D6E3BC"/>
            <w:vAlign w:val="center"/>
          </w:tcPr>
          <w:p w:rsidR="00617421" w:rsidRPr="006E7C15" w:rsidRDefault="00617421" w:rsidP="008754DA"/>
        </w:tc>
        <w:tc>
          <w:tcPr>
            <w:tcW w:w="363" w:type="dxa"/>
            <w:vMerge/>
            <w:tcBorders>
              <w:left w:val="single" w:sz="2" w:space="0" w:color="FFFFFF"/>
              <w:right w:val="single" w:sz="18" w:space="0" w:color="FFFFFF"/>
            </w:tcBorders>
            <w:shd w:val="clear" w:color="auto" w:fill="D6E3BC"/>
            <w:vAlign w:val="center"/>
          </w:tcPr>
          <w:p w:rsidR="00617421" w:rsidRPr="006E7C15" w:rsidRDefault="00617421" w:rsidP="008754DA">
            <w:pP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rsidR="00617421" w:rsidRPr="006E7C15" w:rsidRDefault="00617421" w:rsidP="008754DA">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rsidR="00617421" w:rsidRPr="006E7C15" w:rsidRDefault="00617421" w:rsidP="008754DA">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rsidR="00617421" w:rsidRPr="006E7C15" w:rsidRDefault="00617421" w:rsidP="008754DA">
            <w:pPr>
              <w:jc w:val="center"/>
            </w:pPr>
          </w:p>
        </w:tc>
        <w:tc>
          <w:tcPr>
            <w:tcW w:w="498" w:type="dxa"/>
            <w:vMerge/>
            <w:tcBorders>
              <w:left w:val="single" w:sz="2" w:space="0" w:color="FFFFFF"/>
              <w:right w:val="single" w:sz="18" w:space="0" w:color="FFFFFF"/>
            </w:tcBorders>
            <w:shd w:val="clear" w:color="auto" w:fill="FBD4B4"/>
            <w:vAlign w:val="center"/>
          </w:tcPr>
          <w:p w:rsidR="00617421" w:rsidRPr="006E7C15" w:rsidRDefault="00617421" w:rsidP="008754DA">
            <w:pPr>
              <w:jc w:val="center"/>
            </w:pPr>
          </w:p>
        </w:tc>
        <w:tc>
          <w:tcPr>
            <w:tcW w:w="450" w:type="dxa"/>
            <w:vMerge/>
            <w:tcBorders>
              <w:left w:val="single" w:sz="18" w:space="0" w:color="FFFFFF"/>
              <w:right w:val="single" w:sz="2" w:space="0" w:color="FFFFFF"/>
            </w:tcBorders>
            <w:shd w:val="clear" w:color="auto" w:fill="CCC0D9"/>
            <w:vAlign w:val="center"/>
          </w:tcPr>
          <w:p w:rsidR="00617421" w:rsidRPr="006E7C15" w:rsidRDefault="00617421" w:rsidP="008754DA"/>
        </w:tc>
        <w:tc>
          <w:tcPr>
            <w:tcW w:w="360" w:type="dxa"/>
            <w:vMerge/>
            <w:tcBorders>
              <w:left w:val="single" w:sz="2" w:space="0" w:color="FFFFFF"/>
              <w:right w:val="single" w:sz="2" w:space="0" w:color="FFFFFF"/>
            </w:tcBorders>
            <w:shd w:val="clear" w:color="auto" w:fill="CCC0D9"/>
            <w:vAlign w:val="center"/>
          </w:tcPr>
          <w:p w:rsidR="00617421" w:rsidRPr="006E7C15" w:rsidRDefault="00617421" w:rsidP="008754DA"/>
        </w:tc>
        <w:tc>
          <w:tcPr>
            <w:tcW w:w="450" w:type="dxa"/>
            <w:vMerge/>
            <w:tcBorders>
              <w:left w:val="single" w:sz="2" w:space="0" w:color="FFFFFF"/>
              <w:right w:val="single" w:sz="2" w:space="0" w:color="FFFFFF"/>
            </w:tcBorders>
            <w:shd w:val="clear" w:color="auto" w:fill="CCC0D9"/>
            <w:vAlign w:val="center"/>
          </w:tcPr>
          <w:p w:rsidR="00617421" w:rsidRPr="006E7C15" w:rsidRDefault="00617421" w:rsidP="008754DA"/>
        </w:tc>
        <w:tc>
          <w:tcPr>
            <w:tcW w:w="360" w:type="dxa"/>
            <w:vMerge/>
            <w:tcBorders>
              <w:left w:val="single" w:sz="2" w:space="0" w:color="FFFFFF"/>
              <w:right w:val="single" w:sz="18" w:space="0" w:color="FFFFFF"/>
            </w:tcBorders>
            <w:shd w:val="clear" w:color="auto" w:fill="CCC0D9"/>
            <w:vAlign w:val="center"/>
          </w:tcPr>
          <w:p w:rsidR="00617421" w:rsidRPr="006E7C15" w:rsidRDefault="00617421" w:rsidP="008754DA">
            <w:pPr>
              <w:rPr>
                <w:rFonts w:ascii="MS Mincho" w:eastAsia="MS Mincho" w:hAnsi="MS Mincho" w:cs="MS Mincho"/>
                <w:sz w:val="20"/>
              </w:rPr>
            </w:pPr>
          </w:p>
        </w:tc>
        <w:tc>
          <w:tcPr>
            <w:tcW w:w="540" w:type="dxa"/>
            <w:vMerge/>
            <w:tcBorders>
              <w:left w:val="single" w:sz="18" w:space="0" w:color="FFFFFF"/>
              <w:right w:val="single" w:sz="4" w:space="0" w:color="FFFFFF" w:themeColor="background1"/>
            </w:tcBorders>
            <w:shd w:val="clear" w:color="auto" w:fill="B8CCE4"/>
            <w:vAlign w:val="center"/>
          </w:tcPr>
          <w:p w:rsidR="00617421" w:rsidRPr="006E7C15" w:rsidRDefault="00617421" w:rsidP="008754DA"/>
        </w:tc>
        <w:tc>
          <w:tcPr>
            <w:tcW w:w="450" w:type="dxa"/>
            <w:vMerge/>
            <w:tcBorders>
              <w:left w:val="single" w:sz="4" w:space="0" w:color="FFFFFF" w:themeColor="background1"/>
              <w:right w:val="single" w:sz="4" w:space="0" w:color="FFFFFF" w:themeColor="background1"/>
            </w:tcBorders>
            <w:shd w:val="clear" w:color="auto" w:fill="B8CCE4"/>
            <w:vAlign w:val="center"/>
          </w:tcPr>
          <w:p w:rsidR="00617421" w:rsidRPr="006E7C15" w:rsidRDefault="00617421" w:rsidP="008754DA"/>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8754DA">
            <w:pPr>
              <w:rPr>
                <w:rFonts w:ascii="MS Mincho" w:eastAsia="MS Mincho" w:hAnsi="MS Mincho" w:cs="MS Mincho"/>
                <w:sz w:val="20"/>
              </w:rPr>
            </w:pPr>
            <w:r w:rsidRPr="0010229D">
              <w:rPr>
                <w:rFonts w:ascii="MS Mincho" w:eastAsia="MS Mincho" w:hAnsi="MS Mincho" w:cs="MS Mincho"/>
                <w:sz w:val="20"/>
              </w:rPr>
              <w:t>✔</w:t>
            </w:r>
          </w:p>
        </w:tc>
        <w:tc>
          <w:tcPr>
            <w:tcW w:w="461" w:type="dxa"/>
            <w:vMerge/>
            <w:tcBorders>
              <w:left w:val="single" w:sz="4" w:space="0" w:color="FFFFFF" w:themeColor="background1"/>
              <w:right w:val="single" w:sz="18" w:space="0" w:color="FFFFFF"/>
            </w:tcBorders>
            <w:shd w:val="clear" w:color="auto" w:fill="B8CCE4"/>
            <w:vAlign w:val="center"/>
          </w:tcPr>
          <w:p w:rsidR="00617421" w:rsidRPr="006E7C15" w:rsidRDefault="00617421" w:rsidP="008754DA"/>
        </w:tc>
        <w:tc>
          <w:tcPr>
            <w:tcW w:w="360" w:type="dxa"/>
            <w:vMerge/>
            <w:tcBorders>
              <w:left w:val="single" w:sz="18" w:space="0" w:color="FFFFFF"/>
              <w:right w:val="single" w:sz="2" w:space="0" w:color="FFFFFF"/>
            </w:tcBorders>
            <w:shd w:val="clear" w:color="auto" w:fill="D99594"/>
            <w:vAlign w:val="center"/>
          </w:tcPr>
          <w:p w:rsidR="00617421" w:rsidRPr="006E7C15" w:rsidRDefault="00617421" w:rsidP="008754DA"/>
        </w:tc>
        <w:tc>
          <w:tcPr>
            <w:tcW w:w="540" w:type="dxa"/>
            <w:vMerge/>
            <w:tcBorders>
              <w:left w:val="single" w:sz="2" w:space="0" w:color="FFFFFF"/>
              <w:right w:val="single" w:sz="2" w:space="0" w:color="FFFFFF"/>
            </w:tcBorders>
            <w:shd w:val="clear" w:color="auto" w:fill="D99594"/>
            <w:vAlign w:val="center"/>
          </w:tcPr>
          <w:p w:rsidR="00617421" w:rsidRPr="006E7C15" w:rsidRDefault="00617421" w:rsidP="008754DA"/>
        </w:tc>
        <w:tc>
          <w:tcPr>
            <w:tcW w:w="476" w:type="dxa"/>
            <w:vMerge/>
            <w:tcBorders>
              <w:left w:val="single" w:sz="2" w:space="0" w:color="FFFFFF"/>
              <w:right w:val="single" w:sz="2" w:space="0" w:color="FFFFFF"/>
            </w:tcBorders>
            <w:shd w:val="clear" w:color="auto" w:fill="D99594"/>
            <w:vAlign w:val="center"/>
          </w:tcPr>
          <w:p w:rsidR="00617421" w:rsidRPr="006E7C15" w:rsidRDefault="00617421" w:rsidP="008754DA"/>
        </w:tc>
        <w:tc>
          <w:tcPr>
            <w:tcW w:w="342" w:type="dxa"/>
            <w:vMerge/>
            <w:tcBorders>
              <w:left w:val="single" w:sz="2" w:space="0" w:color="FFFFFF"/>
              <w:right w:val="single" w:sz="2" w:space="0" w:color="FFFFFF"/>
            </w:tcBorders>
            <w:shd w:val="clear" w:color="auto" w:fill="D99594"/>
            <w:vAlign w:val="center"/>
          </w:tcPr>
          <w:p w:rsidR="00617421" w:rsidRPr="006E7C15" w:rsidRDefault="00617421" w:rsidP="008754DA">
            <w:pPr>
              <w:rPr>
                <w:rFonts w:ascii="MS Mincho" w:eastAsia="MS Mincho" w:hAnsi="MS Mincho" w:cs="MS Mincho"/>
                <w:sz w:val="20"/>
              </w:rPr>
            </w:pPr>
          </w:p>
        </w:tc>
        <w:tc>
          <w:tcPr>
            <w:tcW w:w="343" w:type="dxa"/>
            <w:vMerge/>
            <w:tcBorders>
              <w:left w:val="single" w:sz="2" w:space="0" w:color="FFFFFF"/>
              <w:right w:val="single" w:sz="18" w:space="0" w:color="FFFFFF"/>
            </w:tcBorders>
            <w:shd w:val="clear" w:color="auto" w:fill="D99594"/>
          </w:tcPr>
          <w:p w:rsidR="00617421" w:rsidRPr="006E7C15" w:rsidRDefault="00617421" w:rsidP="008754DA"/>
        </w:tc>
      </w:tr>
    </w:tbl>
    <w:p w:rsidR="00617421" w:rsidRPr="00534A0B" w:rsidRDefault="00617421" w:rsidP="00FE5928">
      <w:pPr>
        <w:pStyle w:val="Heading3"/>
      </w:pPr>
      <w:bookmarkStart w:id="59" w:name="_Toc525759439"/>
      <w:r w:rsidRPr="0010229D">
        <w:t xml:space="preserve">Commitment </w:t>
      </w:r>
      <w:r w:rsidRPr="004B1C12">
        <w:t>A</w:t>
      </w:r>
      <w:r w:rsidRPr="0010229D">
        <w:t>im:</w:t>
      </w:r>
      <w:bookmarkEnd w:id="59"/>
    </w:p>
    <w:p w:rsidR="00617421" w:rsidRPr="00AB21CB" w:rsidRDefault="00617421" w:rsidP="00C82E50">
      <w:r w:rsidRPr="00534A0B">
        <w:rPr>
          <w:szCs w:val="22"/>
        </w:rPr>
        <w:t>The Ministry of Environment and Natural Resources Protection of Georgia (MENRP)</w:t>
      </w:r>
      <w:r>
        <w:rPr>
          <w:rStyle w:val="EndnoteReference"/>
          <w:szCs w:val="22"/>
        </w:rPr>
        <w:endnoteReference w:id="65"/>
      </w:r>
      <w:r>
        <w:rPr>
          <w:szCs w:val="22"/>
        </w:rPr>
        <w:t xml:space="preserve"> </w:t>
      </w:r>
      <w:r w:rsidR="00005313">
        <w:rPr>
          <w:szCs w:val="22"/>
        </w:rPr>
        <w:t>made</w:t>
      </w:r>
      <w:r w:rsidR="00005313" w:rsidRPr="00534A0B">
        <w:rPr>
          <w:szCs w:val="22"/>
        </w:rPr>
        <w:t xml:space="preserve"> </w:t>
      </w:r>
      <w:r w:rsidRPr="00534A0B">
        <w:rPr>
          <w:szCs w:val="22"/>
        </w:rPr>
        <w:t>a commitment to adopt the environmental assessment code with the objective of bringing activities having a potential</w:t>
      </w:r>
      <w:r>
        <w:t xml:space="preserve"> effect on the environment under the Ministry’s regulation, assessing activities against environmental protection interests, and informing and engaging citizens in the decision-making process when issuing approval permits for the projects.</w:t>
      </w:r>
      <w:r>
        <w:rPr>
          <w:rStyle w:val="EndnoteReference"/>
        </w:rPr>
        <w:endnoteReference w:id="66"/>
      </w:r>
      <w:r>
        <w:t xml:space="preserve"> The commitment aimed</w:t>
      </w:r>
      <w:r w:rsidR="00C82E50">
        <w:t xml:space="preserve"> to a</w:t>
      </w:r>
      <w:r>
        <w:t>dopt</w:t>
      </w:r>
      <w:r w:rsidR="00C82E50">
        <w:t xml:space="preserve"> </w:t>
      </w:r>
      <w:r>
        <w:t>environmental assessment code</w:t>
      </w:r>
      <w:r w:rsidR="00C82E50">
        <w:t>; provide</w:t>
      </w:r>
      <w:r>
        <w:t xml:space="preserve"> training a specific structural unit to adjust MENRP’s work to new regulations;</w:t>
      </w:r>
      <w:r w:rsidR="00C82E50">
        <w:t xml:space="preserve"> i</w:t>
      </w:r>
      <w:r>
        <w:t>nform other administrative bodies involved in authorization process regarding the changes;</w:t>
      </w:r>
      <w:r w:rsidR="00C82E50">
        <w:t xml:space="preserve"> t</w:t>
      </w:r>
      <w:r>
        <w:t xml:space="preserve">raining members of academia and other stakeholders in how to participate in environmental impact assessment. </w:t>
      </w:r>
    </w:p>
    <w:p w:rsidR="00617421" w:rsidRPr="0010229D" w:rsidRDefault="00617421" w:rsidP="00FE5928">
      <w:pPr>
        <w:pStyle w:val="Heading3"/>
      </w:pPr>
      <w:bookmarkStart w:id="60" w:name="_Toc525759440"/>
      <w:r w:rsidRPr="0010229D">
        <w:t>Status</w:t>
      </w:r>
      <w:bookmarkEnd w:id="60"/>
    </w:p>
    <w:p w:rsidR="00617421" w:rsidRPr="004B1C12" w:rsidRDefault="00617421" w:rsidP="00821026">
      <w:pPr>
        <w:pStyle w:val="Normalrglronly"/>
        <w:rPr>
          <w:b/>
        </w:rPr>
      </w:pPr>
      <w:r w:rsidRPr="004B1C12">
        <w:rPr>
          <w:b/>
        </w:rPr>
        <w:t xml:space="preserve">Midterm: </w:t>
      </w:r>
      <w:r>
        <w:rPr>
          <w:b/>
          <w:color w:val="000000" w:themeColor="text1"/>
        </w:rPr>
        <w:t xml:space="preserve">Substantial </w:t>
      </w:r>
    </w:p>
    <w:p w:rsidR="00617421" w:rsidRDefault="00617421" w:rsidP="00821026">
      <w:pPr>
        <w:pStyle w:val="Normalrglronly"/>
        <w:rPr>
          <w:color w:val="auto"/>
        </w:rPr>
      </w:pPr>
      <w:r>
        <w:rPr>
          <w:color w:val="auto"/>
        </w:rPr>
        <w:t xml:space="preserve">The Environmental Assessment Code was adopted in the beginning of 2017, to be enforced starting January 2018. The Code opened up </w:t>
      </w:r>
      <w:r w:rsidR="00FC741C">
        <w:rPr>
          <w:color w:val="auto"/>
        </w:rPr>
        <w:t xml:space="preserve">the </w:t>
      </w:r>
      <w:r>
        <w:rPr>
          <w:color w:val="auto"/>
        </w:rPr>
        <w:t>environmental assessment process to citizens by obliging the Ministry to:</w:t>
      </w:r>
    </w:p>
    <w:p w:rsidR="00617421" w:rsidRDefault="00617421" w:rsidP="00821026">
      <w:pPr>
        <w:pStyle w:val="ListParagraph"/>
        <w:numPr>
          <w:ilvl w:val="0"/>
          <w:numId w:val="16"/>
        </w:numPr>
      </w:pPr>
      <w:r>
        <w:t>Inform citizens regarding project proposals via different channels such as the Ministry website, newspapers, and the building of the Ministry;</w:t>
      </w:r>
    </w:p>
    <w:p w:rsidR="00617421" w:rsidRDefault="00617421" w:rsidP="00821026">
      <w:pPr>
        <w:pStyle w:val="ListParagraph"/>
        <w:numPr>
          <w:ilvl w:val="0"/>
          <w:numId w:val="16"/>
        </w:numPr>
      </w:pPr>
      <w:r>
        <w:t xml:space="preserve">Collect feedback from citizens in electronic or written form, as well as through public discussions; and to </w:t>
      </w:r>
    </w:p>
    <w:p w:rsidR="00617421" w:rsidRDefault="00617421" w:rsidP="00821026">
      <w:pPr>
        <w:pStyle w:val="ListParagraph"/>
        <w:numPr>
          <w:ilvl w:val="0"/>
          <w:numId w:val="16"/>
        </w:numPr>
      </w:pPr>
      <w:r>
        <w:t xml:space="preserve">Provide feedback on which proposed suggestions were taken into account. </w:t>
      </w:r>
    </w:p>
    <w:p w:rsidR="00FC741C" w:rsidRDefault="00FC741C" w:rsidP="00821026"/>
    <w:p w:rsidR="00617421" w:rsidRDefault="00617421" w:rsidP="00821026">
      <w:r>
        <w:t xml:space="preserve">By the midterm, the Ministry had yet to address other milestones of the commitments, such as staffing the relevant structural unit, informing other administrative bodies involved in authorization process regarding new regulations, and training members of academia and general public in how to participate in the assessment process. </w:t>
      </w:r>
    </w:p>
    <w:p w:rsidR="00617421" w:rsidRDefault="00617421" w:rsidP="00821026"/>
    <w:p w:rsidR="00617421" w:rsidRDefault="00617421" w:rsidP="00821026">
      <w:r>
        <w:t xml:space="preserve">Some CSOs working in the field were concerned regarding shortcomings in the legislation, such as in the case of </w:t>
      </w:r>
      <w:r w:rsidR="00B67F39">
        <w:t>subsoil</w:t>
      </w:r>
      <w:r>
        <w:t xml:space="preserve">, where the National Environmental Agency is authorized to issue permits prior to conducting the environmental assessment. In their opinion, such sequence might diminish the importance of the assessment and influence the outcome of the assessment process.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Pr>
          <w:rStyle w:val="EndnoteReference"/>
          <w:color w:val="auto"/>
        </w:rPr>
        <w:endnoteReference w:id="67"/>
      </w:r>
      <w:r w:rsidRPr="0010229D">
        <w:rPr>
          <w:i/>
          <w:color w:val="4F81BD" w:themeColor="accent1"/>
        </w:rPr>
        <w:t> </w:t>
      </w:r>
    </w:p>
    <w:p w:rsidR="00617421" w:rsidRPr="004B1C12" w:rsidRDefault="00617421" w:rsidP="00821026">
      <w:pPr>
        <w:pStyle w:val="Normalrglronly"/>
        <w:rPr>
          <w:i/>
          <w:color w:val="4F81BD" w:themeColor="accent1"/>
        </w:rPr>
      </w:pPr>
    </w:p>
    <w:p w:rsidR="00617421" w:rsidRDefault="00617421" w:rsidP="00821026">
      <w:pPr>
        <w:pStyle w:val="Normalrglronly"/>
        <w:rPr>
          <w:b/>
          <w:color w:val="000000" w:themeColor="text1"/>
        </w:rPr>
      </w:pPr>
      <w:r w:rsidRPr="004B1C12">
        <w:rPr>
          <w:b/>
        </w:rPr>
        <w:t xml:space="preserve">End of term: </w:t>
      </w:r>
      <w:r w:rsidRPr="004B1C12">
        <w:rPr>
          <w:b/>
          <w:color w:val="000000" w:themeColor="text1"/>
        </w:rPr>
        <w:t>Substantial</w:t>
      </w:r>
    </w:p>
    <w:p w:rsidR="00617421" w:rsidRDefault="002979A6" w:rsidP="00821026">
      <w:pPr>
        <w:pStyle w:val="Normalrglronly"/>
      </w:pPr>
      <w:r>
        <w:rPr>
          <w:color w:val="000000" w:themeColor="text1"/>
        </w:rPr>
        <w:t>A</w:t>
      </w:r>
      <w:r w:rsidR="00617421">
        <w:rPr>
          <w:color w:val="000000" w:themeColor="text1"/>
        </w:rPr>
        <w:t>fter the adoption of the Environmental Assessment Code, the government of Georgia made significant changes to the structure of the ministries</w:t>
      </w:r>
      <w:r>
        <w:rPr>
          <w:color w:val="000000" w:themeColor="text1"/>
        </w:rPr>
        <w:t>.</w:t>
      </w:r>
      <w:r w:rsidR="00617421">
        <w:rPr>
          <w:color w:val="000000" w:themeColor="text1"/>
        </w:rPr>
        <w:t xml:space="preserve"> </w:t>
      </w:r>
      <w:r>
        <w:rPr>
          <w:color w:val="000000" w:themeColor="text1"/>
        </w:rPr>
        <w:t>T</w:t>
      </w:r>
      <w:r w:rsidR="00617421">
        <w:rPr>
          <w:color w:val="000000" w:themeColor="text1"/>
        </w:rPr>
        <w:t xml:space="preserve">he </w:t>
      </w:r>
      <w:r w:rsidR="00617421" w:rsidRPr="00534A0B">
        <w:t>Ministry of Environment and Natural Resources Protection of Georgia (MENRP)</w:t>
      </w:r>
      <w:r w:rsidR="00617421">
        <w:t xml:space="preserve"> was merged with the Ministry of Agriculture and Regional Development to form a new Ministry of Environment Protection and Agriculture (MEPA). According to Green Alternative, a civil society organization working in the field of environment protection, the change in the composition of the ministry resulted in reshuffling of </w:t>
      </w:r>
      <w:r w:rsidR="00617421">
        <w:lastRenderedPageBreak/>
        <w:t xml:space="preserve">individuals responsible for the implementation of the commitment, </w:t>
      </w:r>
      <w:r w:rsidR="00B67F39">
        <w:t xml:space="preserve">and a lack of competence of the employees working on environmental assessment process, which affects the quality of published information regarding projects at stake. These staffing issues in turn </w:t>
      </w:r>
      <w:r w:rsidR="00617421">
        <w:t xml:space="preserve">impeded </w:t>
      </w:r>
      <w:r w:rsidR="00B67F39">
        <w:t xml:space="preserve">the </w:t>
      </w:r>
      <w:r w:rsidR="00617421">
        <w:t>full implementation of the remaining milestones. Additionally, since the website of the two ministries was unified as well, information on environmental assessment gets lost in the shuffle of news regarding agriculture.</w:t>
      </w:r>
      <w:r w:rsidR="00617421">
        <w:rPr>
          <w:rStyle w:val="EndnoteReference"/>
        </w:rPr>
        <w:endnoteReference w:id="68"/>
      </w:r>
      <w:r w:rsidR="00617421">
        <w:t xml:space="preserve"> </w:t>
      </w:r>
    </w:p>
    <w:p w:rsidR="00617421" w:rsidRPr="00CB71BB" w:rsidRDefault="00617421" w:rsidP="00821026">
      <w:pPr>
        <w:pStyle w:val="Normalrglronly"/>
      </w:pPr>
      <w:r>
        <w:t xml:space="preserve">According to MEPA, two trainings were conducted in September 2018 on environmental impact assessment and strategic environment protection assessment. In total, 56 participants were trained including the employees of MEPA and other ministries, as well as implementing companies and planning departments. Additionally, </w:t>
      </w:r>
      <w:r w:rsidR="007A6321">
        <w:t xml:space="preserve">according to </w:t>
      </w:r>
      <w:r>
        <w:t>the Ministry they increased their capacity by adding a few more specialists to the responsible department.</w:t>
      </w:r>
      <w:r>
        <w:rPr>
          <w:rStyle w:val="EndnoteReference"/>
        </w:rPr>
        <w:endnoteReference w:id="69"/>
      </w:r>
      <w:r>
        <w:t xml:space="preserve"> </w:t>
      </w:r>
    </w:p>
    <w:p w:rsidR="00E60731" w:rsidRDefault="00E60731" w:rsidP="00FE5928">
      <w:pPr>
        <w:pStyle w:val="Heading3"/>
      </w:pPr>
      <w:bookmarkStart w:id="61" w:name="_Toc525759441"/>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61"/>
    </w:p>
    <w:p w:rsidR="00617421" w:rsidRPr="00CB71BB" w:rsidRDefault="00617421" w:rsidP="00821026">
      <w:pPr>
        <w:rPr>
          <w:b/>
          <w:color w:val="000000" w:themeColor="text1"/>
        </w:rPr>
      </w:pPr>
      <w:r w:rsidRPr="004B1C12">
        <w:rPr>
          <w:b/>
          <w:color w:val="000000" w:themeColor="text1"/>
        </w:rPr>
        <w:t xml:space="preserve">Access to Information: </w:t>
      </w:r>
      <w:r>
        <w:rPr>
          <w:b/>
          <w:color w:val="000000" w:themeColor="text1"/>
        </w:rPr>
        <w:t>Ma</w:t>
      </w:r>
      <w:r w:rsidR="00EC7DF2">
        <w:rPr>
          <w:b/>
          <w:color w:val="000000" w:themeColor="text1"/>
        </w:rPr>
        <w:t>rginal</w:t>
      </w:r>
    </w:p>
    <w:p w:rsidR="00617421" w:rsidRPr="004B1C12" w:rsidRDefault="00617421" w:rsidP="00821026">
      <w:pPr>
        <w:rPr>
          <w:b/>
          <w:color w:val="000000" w:themeColor="text1"/>
        </w:rPr>
      </w:pPr>
      <w:r w:rsidRPr="00CB71BB">
        <w:rPr>
          <w:b/>
          <w:color w:val="000000" w:themeColor="text1"/>
        </w:rPr>
        <w:t xml:space="preserve">Civic Participation: </w:t>
      </w:r>
      <w:r w:rsidR="006A5DB9">
        <w:rPr>
          <w:b/>
          <w:color w:val="000000" w:themeColor="text1"/>
        </w:rPr>
        <w:t xml:space="preserve"> Marginal </w:t>
      </w:r>
    </w:p>
    <w:p w:rsidR="00617421" w:rsidRDefault="00617421" w:rsidP="00821026">
      <w:pPr>
        <w:rPr>
          <w:b/>
          <w:color w:val="000000" w:themeColor="text1"/>
        </w:rPr>
      </w:pPr>
    </w:p>
    <w:p w:rsidR="00617421" w:rsidRDefault="00617421" w:rsidP="00821026">
      <w:pPr>
        <w:rPr>
          <w:color w:val="000000" w:themeColor="text1"/>
        </w:rPr>
      </w:pPr>
      <w:r>
        <w:rPr>
          <w:color w:val="000000" w:themeColor="text1"/>
        </w:rPr>
        <w:t xml:space="preserve">The </w:t>
      </w:r>
      <w:r w:rsidR="00C93F97">
        <w:rPr>
          <w:color w:val="000000" w:themeColor="text1"/>
        </w:rPr>
        <w:t>commitment</w:t>
      </w:r>
      <w:r>
        <w:rPr>
          <w:color w:val="000000" w:themeColor="text1"/>
        </w:rPr>
        <w:t xml:space="preserve"> </w:t>
      </w:r>
      <w:r w:rsidR="00C93F97">
        <w:rPr>
          <w:color w:val="000000" w:themeColor="text1"/>
        </w:rPr>
        <w:t>sought to</w:t>
      </w:r>
      <w:r>
        <w:rPr>
          <w:color w:val="000000" w:themeColor="text1"/>
        </w:rPr>
        <w:t xml:space="preserve"> open up the process of environmental assessment to citizens by involving them in the screening and scoping process – </w:t>
      </w:r>
      <w:r w:rsidR="00C93F97">
        <w:rPr>
          <w:color w:val="000000" w:themeColor="text1"/>
        </w:rPr>
        <w:t xml:space="preserve">a </w:t>
      </w:r>
      <w:r>
        <w:rPr>
          <w:color w:val="000000" w:themeColor="text1"/>
        </w:rPr>
        <w:t xml:space="preserve">process which excluded civic participation from mid-2000s. </w:t>
      </w:r>
    </w:p>
    <w:p w:rsidR="00617421" w:rsidRDefault="00617421" w:rsidP="00821026">
      <w:pPr>
        <w:rPr>
          <w:color w:val="000000" w:themeColor="text1"/>
        </w:rPr>
      </w:pPr>
    </w:p>
    <w:p w:rsidR="00617421" w:rsidRDefault="00961DD9" w:rsidP="00821026">
      <w:pPr>
        <w:rPr>
          <w:color w:val="000000" w:themeColor="text1"/>
        </w:rPr>
      </w:pPr>
      <w:r>
        <w:rPr>
          <w:color w:val="000000" w:themeColor="text1"/>
        </w:rPr>
        <w:t xml:space="preserve">In October 2018, the Ministry provided its statistics on civic participation in environmental assessment procedure. </w:t>
      </w:r>
      <w:r w:rsidR="00617421">
        <w:rPr>
          <w:color w:val="000000" w:themeColor="text1"/>
        </w:rPr>
        <w:t>According to the Ministry, since 1 January 2018 when the Environmental Assessment Code came into force, all incoming requests are published on the website of the Ministry including screening requests (127 in total), scoping requests (61), and their respective decisions (screening – 75, scoping 37), as well as public meeting announcements (55 in total).</w:t>
      </w:r>
      <w:r w:rsidR="00617421">
        <w:rPr>
          <w:rStyle w:val="EndnoteReference"/>
          <w:color w:val="000000" w:themeColor="text1"/>
        </w:rPr>
        <w:endnoteReference w:id="70"/>
      </w:r>
      <w:r w:rsidR="00617421">
        <w:rPr>
          <w:color w:val="000000" w:themeColor="text1"/>
        </w:rPr>
        <w:t xml:space="preserve"> </w:t>
      </w:r>
      <w:r w:rsidR="000E163C" w:rsidRPr="00135E95">
        <w:rPr>
          <w:color w:val="000000" w:themeColor="text1"/>
        </w:rPr>
        <w:t>The</w:t>
      </w:r>
      <w:r w:rsidR="00617421">
        <w:rPr>
          <w:color w:val="000000" w:themeColor="text1"/>
        </w:rPr>
        <w:t xml:space="preserve"> Ministry</w:t>
      </w:r>
      <w:r w:rsidR="000E163C">
        <w:rPr>
          <w:color w:val="000000" w:themeColor="text1"/>
        </w:rPr>
        <w:t xml:space="preserve"> does not</w:t>
      </w:r>
      <w:r w:rsidR="00617421">
        <w:rPr>
          <w:color w:val="000000" w:themeColor="text1"/>
        </w:rPr>
        <w:t xml:space="preserve"> have statistics o</w:t>
      </w:r>
      <w:r w:rsidR="00C93F97">
        <w:rPr>
          <w:color w:val="000000" w:themeColor="text1"/>
        </w:rPr>
        <w:t>n</w:t>
      </w:r>
      <w:r w:rsidR="00617421">
        <w:rPr>
          <w:color w:val="000000" w:themeColor="text1"/>
        </w:rPr>
        <w:t xml:space="preserve"> the citizen engagement. However, the Ministry accepts citizen positions in written and oral forms and includes them in the transcripts of the meetings.</w:t>
      </w:r>
      <w:r w:rsidR="00617421">
        <w:rPr>
          <w:rStyle w:val="EndnoteReference"/>
          <w:color w:val="000000" w:themeColor="text1"/>
        </w:rPr>
        <w:endnoteReference w:id="71"/>
      </w:r>
      <w:r w:rsidR="00617421">
        <w:rPr>
          <w:color w:val="000000" w:themeColor="text1"/>
        </w:rPr>
        <w:t xml:space="preserve"> </w:t>
      </w:r>
    </w:p>
    <w:p w:rsidR="000E163C" w:rsidRDefault="000E163C" w:rsidP="00821026">
      <w:pPr>
        <w:rPr>
          <w:color w:val="000000" w:themeColor="text1"/>
        </w:rPr>
      </w:pPr>
    </w:p>
    <w:p w:rsidR="00617421" w:rsidRDefault="000E163C" w:rsidP="00821026">
      <w:pPr>
        <w:rPr>
          <w:color w:val="000000" w:themeColor="text1"/>
        </w:rPr>
      </w:pPr>
      <w:r>
        <w:rPr>
          <w:color w:val="000000" w:themeColor="text1"/>
        </w:rPr>
        <w:t xml:space="preserve">While the CSOs commended the Ministry for adopting the Code and opening citizen participation channels during environmental </w:t>
      </w:r>
      <w:r w:rsidR="0052622D">
        <w:rPr>
          <w:color w:val="000000" w:themeColor="text1"/>
        </w:rPr>
        <w:t xml:space="preserve">impact </w:t>
      </w:r>
      <w:r>
        <w:rPr>
          <w:color w:val="000000" w:themeColor="text1"/>
        </w:rPr>
        <w:t xml:space="preserve">assessment </w:t>
      </w:r>
      <w:r w:rsidR="0052622D">
        <w:rPr>
          <w:color w:val="000000" w:themeColor="text1"/>
        </w:rPr>
        <w:t xml:space="preserve">(EIA) </w:t>
      </w:r>
      <w:r>
        <w:rPr>
          <w:color w:val="000000" w:themeColor="text1"/>
        </w:rPr>
        <w:t xml:space="preserve">of proposed projects, several loopholes remain both in legal norms and in practice. According to </w:t>
      </w:r>
      <w:r w:rsidR="00F70714">
        <w:rPr>
          <w:color w:val="000000" w:themeColor="text1"/>
        </w:rPr>
        <w:t>recently published</w:t>
      </w:r>
      <w:r>
        <w:rPr>
          <w:color w:val="000000" w:themeColor="text1"/>
        </w:rPr>
        <w:t xml:space="preserve"> policy brief by Green Alternative, there are two deficiencies in the legislation. First of all, while citizens can participate in all three stages of the environmental assessment, the Ministry and the project implementer exercise the right to initiate a change to the decision made through the participatory process. In case such change is initiated, instead of a public </w:t>
      </w:r>
      <w:r w:rsidR="0052622D">
        <w:rPr>
          <w:color w:val="000000" w:themeColor="text1"/>
        </w:rPr>
        <w:t>administrative procedure</w:t>
      </w:r>
      <w:r>
        <w:rPr>
          <w:color w:val="000000" w:themeColor="text1"/>
        </w:rPr>
        <w:t xml:space="preserve"> which allows citizens to participate, simple administrative procedure is conducted, leaving citizens outside of the decision-making process. Secondly, the Code has two annexes which list</w:t>
      </w:r>
      <w:r w:rsidR="00F70714">
        <w:rPr>
          <w:color w:val="000000" w:themeColor="text1"/>
        </w:rPr>
        <w:t xml:space="preserve"> the</w:t>
      </w:r>
      <w:r>
        <w:rPr>
          <w:color w:val="000000" w:themeColor="text1"/>
        </w:rPr>
        <w:t xml:space="preserve"> types of projects that are subject to mandatory environmental assessment. While activities listed in Annex 1 are automatically subject to </w:t>
      </w:r>
      <w:r w:rsidR="0052622D">
        <w:rPr>
          <w:color w:val="000000" w:themeColor="text1"/>
        </w:rPr>
        <w:t xml:space="preserve">EIA, </w:t>
      </w:r>
      <w:r>
        <w:rPr>
          <w:color w:val="000000" w:themeColor="text1"/>
        </w:rPr>
        <w:t xml:space="preserve">activities under Annex 2 are subject to </w:t>
      </w:r>
      <w:r w:rsidR="0052622D">
        <w:rPr>
          <w:color w:val="000000" w:themeColor="text1"/>
        </w:rPr>
        <w:t>the assessment</w:t>
      </w:r>
      <w:r>
        <w:rPr>
          <w:color w:val="000000" w:themeColor="text1"/>
        </w:rPr>
        <w:t xml:space="preserve"> only if the Ministry decides</w:t>
      </w:r>
      <w:r w:rsidR="0052622D">
        <w:rPr>
          <w:color w:val="000000" w:themeColor="text1"/>
        </w:rPr>
        <w:t xml:space="preserve"> that the EIA is necessary</w:t>
      </w:r>
      <w:r>
        <w:rPr>
          <w:color w:val="000000" w:themeColor="text1"/>
        </w:rPr>
        <w:t xml:space="preserve">. </w:t>
      </w:r>
      <w:r w:rsidR="0052622D">
        <w:rPr>
          <w:color w:val="000000" w:themeColor="text1"/>
        </w:rPr>
        <w:t xml:space="preserve">According to the categorization, </w:t>
      </w:r>
      <w:r w:rsidR="0052622D" w:rsidRPr="0052622D">
        <w:rPr>
          <w:color w:val="000000" w:themeColor="text1"/>
        </w:rPr>
        <w:t xml:space="preserve">open-cast mining of minerals </w:t>
      </w:r>
      <w:r w:rsidR="0052622D">
        <w:rPr>
          <w:color w:val="000000" w:themeColor="text1"/>
        </w:rPr>
        <w:t xml:space="preserve">is only subject to mandatory EIA if </w:t>
      </w:r>
      <w:r w:rsidR="0052622D" w:rsidRPr="0052622D">
        <w:rPr>
          <w:color w:val="000000" w:themeColor="text1"/>
        </w:rPr>
        <w:t>the surface of the mining site exceeds 25</w:t>
      </w:r>
      <w:r w:rsidR="0052622D">
        <w:rPr>
          <w:color w:val="000000" w:themeColor="text1"/>
        </w:rPr>
        <w:t xml:space="preserve"> </w:t>
      </w:r>
      <w:r w:rsidR="0052622D" w:rsidRPr="0052622D">
        <w:rPr>
          <w:color w:val="000000" w:themeColor="text1"/>
        </w:rPr>
        <w:t>hectar</w:t>
      </w:r>
      <w:r w:rsidR="0052622D">
        <w:rPr>
          <w:color w:val="000000" w:themeColor="text1"/>
        </w:rPr>
        <w:t>es;</w:t>
      </w:r>
      <w:r w:rsidR="0052622D" w:rsidRPr="0052622D">
        <w:rPr>
          <w:color w:val="000000" w:themeColor="text1"/>
        </w:rPr>
        <w:t xml:space="preserve"> peat extraction </w:t>
      </w:r>
      <w:r w:rsidR="00490760">
        <w:rPr>
          <w:color w:val="000000" w:themeColor="text1"/>
        </w:rPr>
        <w:t xml:space="preserve">falls </w:t>
      </w:r>
      <w:r w:rsidR="0052622D">
        <w:rPr>
          <w:color w:val="000000" w:themeColor="text1"/>
        </w:rPr>
        <w:t xml:space="preserve">under the same requirement if </w:t>
      </w:r>
      <w:r w:rsidR="0052622D" w:rsidRPr="0052622D">
        <w:rPr>
          <w:color w:val="000000" w:themeColor="text1"/>
        </w:rPr>
        <w:t xml:space="preserve">the surface of the site exceeds </w:t>
      </w:r>
      <w:r w:rsidR="0052622D">
        <w:rPr>
          <w:color w:val="000000" w:themeColor="text1"/>
        </w:rPr>
        <w:t>1</w:t>
      </w:r>
      <w:r w:rsidR="0052622D" w:rsidRPr="0052622D">
        <w:rPr>
          <w:color w:val="000000" w:themeColor="text1"/>
        </w:rPr>
        <w:t>50 hectares</w:t>
      </w:r>
      <w:r w:rsidR="0052622D">
        <w:rPr>
          <w:color w:val="000000" w:themeColor="text1"/>
        </w:rPr>
        <w:t>. Environmental experts believe that 25 and 150 hectares are exceedingly high thresholds and are inadequate for protecting natural resources and the environment.</w:t>
      </w:r>
      <w:r w:rsidR="0052622D">
        <w:rPr>
          <w:rStyle w:val="EndnoteReference"/>
          <w:color w:val="000000" w:themeColor="text1"/>
        </w:rPr>
        <w:endnoteReference w:id="72"/>
      </w:r>
      <w:r w:rsidR="0052622D">
        <w:rPr>
          <w:color w:val="000000" w:themeColor="text1"/>
        </w:rPr>
        <w:t xml:space="preserve"> </w:t>
      </w:r>
      <w:r w:rsidR="00490760">
        <w:rPr>
          <w:color w:val="000000" w:themeColor="text1"/>
        </w:rPr>
        <w:t>As noted in the Midterm Report, the Code falls short of regulating EIA in forestry.</w:t>
      </w:r>
      <w:r w:rsidR="00490760">
        <w:rPr>
          <w:rStyle w:val="EndnoteReference"/>
          <w:color w:val="000000" w:themeColor="text1"/>
        </w:rPr>
        <w:endnoteReference w:id="73"/>
      </w:r>
    </w:p>
    <w:p w:rsidR="00135E95" w:rsidRDefault="00135E95" w:rsidP="00821026">
      <w:pPr>
        <w:rPr>
          <w:i/>
          <w:color w:val="4F81BD" w:themeColor="accent1"/>
        </w:rPr>
      </w:pPr>
    </w:p>
    <w:p w:rsidR="00EF6858" w:rsidRPr="00996E98" w:rsidRDefault="00783622" w:rsidP="00821026">
      <w:pPr>
        <w:rPr>
          <w:color w:val="auto"/>
        </w:rPr>
      </w:pPr>
      <w:r w:rsidRPr="00996E98">
        <w:rPr>
          <w:color w:val="auto"/>
        </w:rPr>
        <w:t>According to experts in the field, the practical implementation of the new Code has shortcomings as well. For example, the Ministry violates procedural norms by insufficiently publishing information regarding the project proposals, and by changing the agreed dates of public hearing online without notifying the stakeholders. Environmental experts have the impression that while some of the shortcomings might be related to lack of competences, on some occasions the Ministry deliberately avoids following the procedural norms. Since the first two years after the adoption of the Code are pivotal as they set the precedent for years to come, the concern was brought to the Parliament of Georgia requesting a hearing at the Environmental Protection and Natural Resources Committee. While the Parliament promised to hold a hearing on the loopholes in legal norms and their implementation, up to December 2018 no hearing was held.</w:t>
      </w:r>
      <w:r w:rsidR="00E51BF9" w:rsidRPr="00996E98">
        <w:rPr>
          <w:rStyle w:val="EndnoteReference"/>
          <w:color w:val="auto"/>
        </w:rPr>
        <w:endnoteReference w:id="74"/>
      </w:r>
      <w:r w:rsidRPr="00996E98">
        <w:rPr>
          <w:color w:val="auto"/>
        </w:rPr>
        <w:t xml:space="preserve"> </w:t>
      </w:r>
      <w:r w:rsidR="00490760" w:rsidRPr="00996E98">
        <w:rPr>
          <w:color w:val="auto"/>
        </w:rPr>
        <w:t>Additionally, experts in the field call for increased human and financial resources in the relevant department of the Ministry to accommodate increased competences on the basis of the Code.</w:t>
      </w:r>
      <w:r w:rsidR="00490760" w:rsidRPr="00996E98">
        <w:rPr>
          <w:rStyle w:val="EndnoteReference"/>
          <w:color w:val="auto"/>
        </w:rPr>
        <w:endnoteReference w:id="75"/>
      </w:r>
      <w:r w:rsidR="00F70714" w:rsidRPr="00996E98">
        <w:rPr>
          <w:color w:val="auto"/>
        </w:rPr>
        <w:t xml:space="preserve"> </w:t>
      </w:r>
    </w:p>
    <w:p w:rsidR="00EF6858" w:rsidRPr="00996E98" w:rsidRDefault="00EF6858" w:rsidP="00821026">
      <w:pPr>
        <w:rPr>
          <w:color w:val="auto"/>
        </w:rPr>
      </w:pPr>
    </w:p>
    <w:p w:rsidR="0052622D" w:rsidRPr="00996E98" w:rsidRDefault="00EF6858" w:rsidP="00821026">
      <w:pPr>
        <w:rPr>
          <w:color w:val="auto"/>
        </w:rPr>
      </w:pPr>
      <w:r w:rsidRPr="00996E98">
        <w:rPr>
          <w:color w:val="auto"/>
        </w:rPr>
        <w:t>As for assessing the impact</w:t>
      </w:r>
      <w:r w:rsidR="007F5863" w:rsidRPr="00996E98">
        <w:rPr>
          <w:color w:val="auto"/>
        </w:rPr>
        <w:t xml:space="preserve"> of the commitment</w:t>
      </w:r>
      <w:r w:rsidRPr="00996E98">
        <w:rPr>
          <w:color w:val="auto"/>
        </w:rPr>
        <w:t>, a</w:t>
      </w:r>
      <w:r w:rsidR="00F70714" w:rsidRPr="00996E98">
        <w:rPr>
          <w:color w:val="auto"/>
        </w:rPr>
        <w:t xml:space="preserve">ccording to a leading NGO in the field, at this early stage of implementation it is difficult to assess </w:t>
      </w:r>
      <w:r w:rsidR="007F5863" w:rsidRPr="00996E98">
        <w:rPr>
          <w:color w:val="auto"/>
        </w:rPr>
        <w:t>to what extent are the</w:t>
      </w:r>
      <w:r w:rsidR="00F70714" w:rsidRPr="00996E98">
        <w:rPr>
          <w:color w:val="auto"/>
        </w:rPr>
        <w:t xml:space="preserve"> citizen inputs taken into consideration </w:t>
      </w:r>
      <w:r w:rsidRPr="00996E98">
        <w:rPr>
          <w:color w:val="auto"/>
        </w:rPr>
        <w:t>in the final decision regarding</w:t>
      </w:r>
      <w:r w:rsidR="007F5863" w:rsidRPr="00996E98">
        <w:rPr>
          <w:color w:val="auto"/>
        </w:rPr>
        <w:t xml:space="preserve"> the</w:t>
      </w:r>
      <w:r w:rsidRPr="00996E98">
        <w:rPr>
          <w:color w:val="auto"/>
        </w:rPr>
        <w:t xml:space="preserve"> proposed projects</w:t>
      </w:r>
      <w:r w:rsidR="00F70714" w:rsidRPr="00996E98">
        <w:rPr>
          <w:color w:val="auto"/>
        </w:rPr>
        <w:t>.</w:t>
      </w:r>
      <w:r w:rsidRPr="00996E98">
        <w:rPr>
          <w:rStyle w:val="EndnoteReference"/>
          <w:color w:val="auto"/>
        </w:rPr>
        <w:endnoteReference w:id="76"/>
      </w:r>
      <w:r w:rsidR="00F70714" w:rsidRPr="00996E98">
        <w:rPr>
          <w:color w:val="auto"/>
        </w:rPr>
        <w:t xml:space="preserve"> </w:t>
      </w:r>
    </w:p>
    <w:p w:rsidR="00617421" w:rsidRPr="004B1C12" w:rsidRDefault="00617421" w:rsidP="00FE5928">
      <w:pPr>
        <w:pStyle w:val="Heading3"/>
      </w:pPr>
      <w:bookmarkStart w:id="62" w:name="_Toc525759442"/>
      <w:r w:rsidRPr="0010229D">
        <w:t xml:space="preserve">Carried </w:t>
      </w:r>
      <w:r w:rsidRPr="004B1C12">
        <w:t>F</w:t>
      </w:r>
      <w:r w:rsidRPr="0010229D">
        <w:t>orward?</w:t>
      </w:r>
      <w:bookmarkEnd w:id="62"/>
    </w:p>
    <w:p w:rsidR="00617421" w:rsidRDefault="00617421" w:rsidP="00821026">
      <w:pPr>
        <w:pStyle w:val="Normalrglronly"/>
        <w:rPr>
          <w:color w:val="auto"/>
        </w:rPr>
      </w:pPr>
      <w:r>
        <w:rPr>
          <w:color w:val="auto"/>
        </w:rPr>
        <w:t xml:space="preserve">The LEPL Environmental Information and Education Centre under the Ministry of Environment Protection and Agriculture </w:t>
      </w:r>
      <w:r w:rsidR="00BA441F">
        <w:rPr>
          <w:color w:val="auto"/>
        </w:rPr>
        <w:t xml:space="preserve">made </w:t>
      </w:r>
      <w:r>
        <w:rPr>
          <w:color w:val="auto"/>
        </w:rPr>
        <w:t>a new</w:t>
      </w:r>
      <w:r w:rsidR="00C25D38">
        <w:rPr>
          <w:color w:val="auto"/>
        </w:rPr>
        <w:t>, related,</w:t>
      </w:r>
      <w:r>
        <w:rPr>
          <w:color w:val="auto"/>
        </w:rPr>
        <w:t xml:space="preserve"> commitment presented in the </w:t>
      </w:r>
      <w:r w:rsidR="00124E45">
        <w:rPr>
          <w:color w:val="auto"/>
        </w:rPr>
        <w:t xml:space="preserve">new </w:t>
      </w:r>
      <w:r>
        <w:rPr>
          <w:color w:val="auto"/>
        </w:rPr>
        <w:t>2018-</w:t>
      </w:r>
      <w:r w:rsidR="00124E45">
        <w:rPr>
          <w:color w:val="auto"/>
        </w:rPr>
        <w:t>20</w:t>
      </w:r>
      <w:r w:rsidR="007A6321">
        <w:rPr>
          <w:color w:val="auto"/>
        </w:rPr>
        <w:t>19</w:t>
      </w:r>
      <w:r w:rsidR="00124E45">
        <w:rPr>
          <w:color w:val="auto"/>
        </w:rPr>
        <w:t xml:space="preserve"> </w:t>
      </w:r>
      <w:r>
        <w:rPr>
          <w:color w:val="auto"/>
        </w:rPr>
        <w:t>National Action Plan to increase the efficiency of application of the Environmental Assessment Code.</w:t>
      </w:r>
      <w:r w:rsidR="00BA441F">
        <w:rPr>
          <w:color w:val="auto"/>
        </w:rPr>
        <w:t xml:space="preserve"> T</w:t>
      </w:r>
      <w:r>
        <w:rPr>
          <w:color w:val="auto"/>
        </w:rPr>
        <w:t>he new commitment</w:t>
      </w:r>
      <w:r w:rsidR="00BA441F">
        <w:rPr>
          <w:color w:val="auto"/>
        </w:rPr>
        <w:t>, Commitment 5,</w:t>
      </w:r>
      <w:r>
        <w:rPr>
          <w:color w:val="auto"/>
        </w:rPr>
        <w:t xml:space="preserve"> envisions creating a web-platform, which will be used for publishing information regarding assessment processes as well as decisions, which will increase citizen access to information regarding upcoming projects and simplify their involvement in the assessment process. </w:t>
      </w:r>
    </w:p>
    <w:p w:rsidR="00617421" w:rsidRDefault="00617421" w:rsidP="00821026">
      <w:pPr>
        <w:pStyle w:val="Normalrglronly"/>
        <w:rPr>
          <w:color w:val="auto"/>
        </w:rPr>
      </w:pPr>
      <w:r>
        <w:rPr>
          <w:color w:val="auto"/>
        </w:rPr>
        <w:t xml:space="preserve">According to Green Alternative, creation of the platform would enable efficient dissemination of information regarding projects, and would allow for easier citizen participation by offering online space for </w:t>
      </w:r>
      <w:r w:rsidRPr="001D1928">
        <w:rPr>
          <w:color w:val="auto"/>
        </w:rPr>
        <w:t xml:space="preserve">comments. Additionally, such platform could be used for involvement in other assessment processes, including assessment of government strategies </w:t>
      </w:r>
      <w:r>
        <w:rPr>
          <w:color w:val="auto"/>
        </w:rPr>
        <w:t>among other documents</w:t>
      </w:r>
      <w:r w:rsidRPr="001D1928">
        <w:rPr>
          <w:color w:val="auto"/>
        </w:rPr>
        <w:t>.</w:t>
      </w:r>
      <w:r w:rsidRPr="001D1928">
        <w:rPr>
          <w:rStyle w:val="EndnoteReference"/>
          <w:color w:val="auto"/>
        </w:rPr>
        <w:endnoteReference w:id="77"/>
      </w:r>
    </w:p>
    <w:p w:rsidR="00617421" w:rsidRDefault="00617421" w:rsidP="00821026">
      <w:pPr>
        <w:pStyle w:val="Normalrglronly"/>
        <w:rPr>
          <w:color w:val="auto"/>
        </w:rPr>
      </w:pPr>
    </w:p>
    <w:p w:rsidR="00617421" w:rsidRDefault="00617421">
      <w:pPr>
        <w:tabs>
          <w:tab w:val="clear" w:pos="2880"/>
        </w:tabs>
        <w:rPr>
          <w:rFonts w:eastAsiaTheme="majorEastAsia"/>
          <w:b/>
          <w:bCs/>
          <w:color w:val="1F497D" w:themeColor="text2"/>
          <w:sz w:val="26"/>
          <w:szCs w:val="26"/>
        </w:rPr>
      </w:pPr>
      <w:bookmarkStart w:id="63" w:name="_Toc525759443"/>
      <w:r>
        <w:br w:type="page"/>
      </w:r>
    </w:p>
    <w:p w:rsidR="00617421" w:rsidRDefault="00617421" w:rsidP="00821026">
      <w:pPr>
        <w:pStyle w:val="Heading2"/>
        <w:sectPr w:rsidR="00617421" w:rsidSect="00A45129">
          <w:footnotePr>
            <w:numRestart w:val="eachSect"/>
          </w:footnotePr>
          <w:endnotePr>
            <w:numFmt w:val="decimal"/>
            <w:numRestart w:val="eachSect"/>
          </w:endnotePr>
          <w:pgSz w:w="11907" w:h="16839" w:code="9"/>
          <w:pgMar w:top="1417" w:right="1417" w:bottom="1417" w:left="1417" w:header="0" w:footer="0" w:gutter="0"/>
          <w:cols w:space="708"/>
          <w:docGrid w:linePitch="360"/>
        </w:sectPr>
      </w:pPr>
    </w:p>
    <w:p w:rsidR="00617421" w:rsidRDefault="00617421" w:rsidP="00821026">
      <w:pPr>
        <w:pStyle w:val="Heading2"/>
      </w:pPr>
      <w:bookmarkStart w:id="64" w:name="_Toc409220389"/>
      <w:r>
        <w:lastRenderedPageBreak/>
        <w:t>17</w:t>
      </w:r>
      <w:r w:rsidRPr="004B1C12">
        <w:t xml:space="preserve">. </w:t>
      </w:r>
      <w:bookmarkEnd w:id="63"/>
      <w:r w:rsidRPr="001821B2">
        <w:t>Introduction of a mobile app as an alternative channel to connect to “112”</w:t>
      </w:r>
      <w:bookmarkEnd w:id="64"/>
    </w:p>
    <w:p w:rsidR="00617421" w:rsidRPr="00AB21CB" w:rsidRDefault="00617421" w:rsidP="00AB21CB"/>
    <w:p w:rsidR="00617421" w:rsidRPr="006B0AB4" w:rsidRDefault="00617421" w:rsidP="00821026">
      <w:pPr>
        <w:rPr>
          <w:b/>
          <w:szCs w:val="22"/>
        </w:rPr>
      </w:pPr>
      <w:r w:rsidRPr="006B0AB4">
        <w:rPr>
          <w:b/>
          <w:szCs w:val="22"/>
        </w:rPr>
        <w:t xml:space="preserve">Commitment Text: </w:t>
      </w:r>
    </w:p>
    <w:p w:rsidR="00617421" w:rsidRDefault="00617421" w:rsidP="00821026">
      <w:pPr>
        <w:pStyle w:val="APQuotefeaturetol"/>
      </w:pPr>
      <w:r>
        <w:t>The mission of LELP “112“of the Ministry of Internal Affairs is to reduce the time of emergency response. In order to process the emergency message without delay, identification of exact location of the caller is of utmost importance. When the caller is in the</w:t>
      </w:r>
      <w:r w:rsidR="00D6521D">
        <w:t xml:space="preserve"> </w:t>
      </w:r>
      <w:r>
        <w:t>location without an address or he/she is not able to exactly identify the location, identification of his/her location is complicated.  Furthermore, there are cases when, due to the specificity of the situation, the caller is not able to talk on the phone with the 112 call-taker.</w:t>
      </w:r>
    </w:p>
    <w:p w:rsidR="00617421" w:rsidRDefault="00617421" w:rsidP="00821026">
      <w:pPr>
        <w:pStyle w:val="APQuotefeaturetol"/>
      </w:pPr>
      <w:r>
        <w:t>In order to identify the location without delay introduction of a mobile app – an alternative communication channel to “112” is recommended. Respectively, a long-term strategy was drafted, one of the priorities of which is creation alternative communication channels to connect to “112”.</w:t>
      </w:r>
    </w:p>
    <w:p w:rsidR="00617421" w:rsidRPr="007D07EA" w:rsidRDefault="00617421" w:rsidP="00821026">
      <w:pPr>
        <w:pStyle w:val="APQuotefeaturetol"/>
      </w:pPr>
      <w:r>
        <w:t xml:space="preserve">The biggest advantage of the project is a) immediate contact between the caller and 112 call-taker and b) the possibility to identify the location of the caller without delay- vital for a citizen </w:t>
      </w:r>
      <w:r w:rsidRPr="007D07EA">
        <w:t>waiting for emergency assistance.</w:t>
      </w:r>
    </w:p>
    <w:p w:rsidR="00617421" w:rsidRPr="007D07EA" w:rsidRDefault="00617421" w:rsidP="00821026">
      <w:pPr>
        <w:pStyle w:val="Normalrglronly"/>
      </w:pPr>
      <w:r w:rsidRPr="007D07EA">
        <w:t>Responsible institution</w:t>
      </w:r>
      <w:r>
        <w:t>(s)</w:t>
      </w:r>
      <w:r w:rsidRPr="007D07EA">
        <w:t xml:space="preserve">: </w:t>
      </w:r>
      <w:r w:rsidRPr="007D07EA">
        <w:rPr>
          <w:noProof/>
        </w:rPr>
        <w:t>LELP – “112” Ministry of Internal Affairs of Georgia</w:t>
      </w:r>
    </w:p>
    <w:p w:rsidR="00617421" w:rsidRPr="007D07EA" w:rsidRDefault="00617421" w:rsidP="00821026">
      <w:pPr>
        <w:pStyle w:val="Normalrglronly"/>
      </w:pPr>
      <w:r w:rsidRPr="007D07EA">
        <w:t xml:space="preserve">Supporting institution(s): </w:t>
      </w:r>
      <w:r w:rsidRPr="007D07EA">
        <w:rPr>
          <w:noProof/>
        </w:rPr>
        <w:t>None</w:t>
      </w:r>
    </w:p>
    <w:p w:rsidR="00617421" w:rsidRDefault="00617421" w:rsidP="00821026">
      <w:pPr>
        <w:spacing w:after="120"/>
        <w:rPr>
          <w:szCs w:val="22"/>
        </w:rPr>
      </w:pPr>
      <w:r w:rsidRPr="007D07EA">
        <w:rPr>
          <w:szCs w:val="22"/>
        </w:rPr>
        <w:t>Start date: 2016</w:t>
      </w:r>
      <w:r w:rsidRPr="007D07EA">
        <w:rPr>
          <w:szCs w:val="22"/>
        </w:rPr>
        <w:tab/>
        <w:t xml:space="preserve">             End date: December 2017</w:t>
      </w:r>
    </w:p>
    <w:tbl>
      <w:tblPr>
        <w:tblpPr w:leftFromText="180" w:rightFromText="180" w:vertAnchor="text" w:horzAnchor="page" w:tblpX="493" w:tblpY="276"/>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A5200D" w:rsidRPr="006E7C15" w:rsidTr="00A5200D">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A5200D" w:rsidRPr="006E7C15" w:rsidRDefault="00A5200D" w:rsidP="00A5200D">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A5200D" w:rsidRPr="006E7C15" w:rsidRDefault="00A5200D" w:rsidP="00A5200D">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A5200D" w:rsidRPr="006E7C15" w:rsidRDefault="00A5200D" w:rsidP="00A5200D">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A5200D" w:rsidRPr="006E7C15" w:rsidRDefault="00A5200D" w:rsidP="00A5200D">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A5200D" w:rsidRPr="006E7C15" w:rsidRDefault="00A5200D" w:rsidP="00A5200D">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A5200D" w:rsidRPr="006E7C15" w:rsidRDefault="00A5200D" w:rsidP="00A5200D">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A5200D" w:rsidRPr="006E7C15" w:rsidRDefault="00A5200D" w:rsidP="00A5200D">
            <w:r w:rsidRPr="006E7C15">
              <w:t>Did It Open Government?</w:t>
            </w:r>
          </w:p>
        </w:tc>
      </w:tr>
      <w:tr w:rsidR="00A5200D" w:rsidRPr="006E7C15" w:rsidTr="00A5200D">
        <w:trPr>
          <w:trHeight w:val="373"/>
        </w:trPr>
        <w:tc>
          <w:tcPr>
            <w:tcW w:w="1596" w:type="dxa"/>
            <w:vMerge/>
            <w:tcBorders>
              <w:left w:val="single" w:sz="4" w:space="0" w:color="FFFFFF"/>
              <w:right w:val="single" w:sz="18" w:space="0" w:color="FFFFFF"/>
            </w:tcBorders>
            <w:shd w:val="clear" w:color="auto" w:fill="000000"/>
            <w:vAlign w:val="center"/>
          </w:tcPr>
          <w:p w:rsidR="00A5200D" w:rsidRPr="006E7C15" w:rsidRDefault="00A5200D" w:rsidP="00A5200D">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A5200D" w:rsidRPr="006E7C15" w:rsidRDefault="00A5200D" w:rsidP="00A5200D"/>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A5200D" w:rsidRPr="006E7C15" w:rsidRDefault="00A5200D" w:rsidP="00A5200D"/>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A5200D" w:rsidRPr="006E7C15" w:rsidRDefault="00A5200D" w:rsidP="00A5200D"/>
        </w:tc>
        <w:tc>
          <w:tcPr>
            <w:tcW w:w="990" w:type="dxa"/>
            <w:gridSpan w:val="2"/>
            <w:vMerge/>
            <w:tcBorders>
              <w:left w:val="single" w:sz="18" w:space="0" w:color="FFFFFF"/>
              <w:bottom w:val="single" w:sz="18" w:space="0" w:color="FFFFFF"/>
              <w:right w:val="single" w:sz="2" w:space="0" w:color="FFFFFF"/>
            </w:tcBorders>
            <w:shd w:val="clear" w:color="auto" w:fill="B8CCE4"/>
          </w:tcPr>
          <w:p w:rsidR="00A5200D" w:rsidRPr="006E7C15" w:rsidRDefault="00A5200D" w:rsidP="00A5200D"/>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A5200D" w:rsidRPr="006E7C15" w:rsidRDefault="00A5200D" w:rsidP="00A5200D">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A5200D" w:rsidRPr="006E7C15" w:rsidRDefault="00A5200D" w:rsidP="00A5200D"/>
        </w:tc>
      </w:tr>
      <w:tr w:rsidR="00A5200D" w:rsidRPr="006E7C15" w:rsidTr="00A5200D">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A5200D" w:rsidRPr="006E7C15" w:rsidRDefault="00A5200D" w:rsidP="00A5200D">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A5200D" w:rsidRPr="006E7C15" w:rsidRDefault="00A5200D" w:rsidP="00A5200D">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A5200D" w:rsidRPr="006E7C15" w:rsidRDefault="00A5200D" w:rsidP="00A5200D">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A5200D" w:rsidRPr="006E7C15" w:rsidRDefault="00A5200D" w:rsidP="00A5200D">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A5200D" w:rsidRPr="006E7C15" w:rsidRDefault="00A5200D" w:rsidP="00A5200D">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A5200D" w:rsidRPr="006E7C15" w:rsidRDefault="00A5200D" w:rsidP="00A5200D">
            <w:r w:rsidRPr="006E7C15">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A5200D" w:rsidRPr="006E7C15" w:rsidRDefault="00A5200D" w:rsidP="00A5200D">
            <w:r w:rsidRPr="006E7C15">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A5200D" w:rsidRPr="006E7C15" w:rsidRDefault="00A5200D" w:rsidP="00A5200D">
            <w:r w:rsidRPr="006E7C15">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A5200D" w:rsidRPr="006E7C15" w:rsidRDefault="00A5200D" w:rsidP="00A5200D">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A5200D" w:rsidRPr="006E7C15" w:rsidRDefault="00A5200D" w:rsidP="00A5200D">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A5200D" w:rsidRPr="006E7C15" w:rsidRDefault="00A5200D" w:rsidP="00A5200D">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A5200D" w:rsidRPr="006E7C15" w:rsidRDefault="00A5200D" w:rsidP="00A5200D">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A5200D" w:rsidRPr="006E7C15" w:rsidRDefault="00A5200D" w:rsidP="00A5200D">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A5200D" w:rsidRPr="006E7C15" w:rsidRDefault="00A5200D" w:rsidP="00A5200D">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A5200D" w:rsidRPr="006E7C15" w:rsidRDefault="00A5200D" w:rsidP="00A5200D">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A5200D" w:rsidRPr="006E7C15" w:rsidRDefault="00A5200D" w:rsidP="00A5200D">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A5200D" w:rsidRPr="006E7C15" w:rsidRDefault="00A5200D" w:rsidP="00A5200D">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A5200D" w:rsidRPr="006E7C15" w:rsidRDefault="00A5200D" w:rsidP="00A5200D">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A5200D" w:rsidRPr="006E7C15" w:rsidRDefault="00A5200D" w:rsidP="00A5200D">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A5200D" w:rsidRPr="006E7C15" w:rsidRDefault="00A5200D" w:rsidP="00A5200D">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A5200D" w:rsidRPr="006E7C15" w:rsidRDefault="00A5200D" w:rsidP="00A5200D">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A5200D" w:rsidRPr="006E7C15" w:rsidRDefault="00A5200D" w:rsidP="00A5200D">
            <w:r w:rsidRPr="006E7C15">
              <w:t>Outstanding</w:t>
            </w:r>
          </w:p>
        </w:tc>
      </w:tr>
      <w:tr w:rsidR="00A5200D" w:rsidRPr="006E7C15" w:rsidTr="00A5200D">
        <w:trPr>
          <w:trHeight w:val="974"/>
        </w:trPr>
        <w:tc>
          <w:tcPr>
            <w:tcW w:w="1596" w:type="dxa"/>
            <w:vMerge w:val="restart"/>
            <w:tcBorders>
              <w:top w:val="single" w:sz="18" w:space="0" w:color="FFFFFF"/>
              <w:left w:val="single" w:sz="4" w:space="0" w:color="FFFFFF"/>
            </w:tcBorders>
            <w:shd w:val="clear" w:color="auto" w:fill="000000"/>
            <w:vAlign w:val="center"/>
          </w:tcPr>
          <w:p w:rsidR="00A5200D" w:rsidRPr="006E7C15" w:rsidRDefault="00A5200D" w:rsidP="00A5200D">
            <w:pPr>
              <w:rPr>
                <w:color w:val="FFFFFF" w:themeColor="background1"/>
              </w:rPr>
            </w:pPr>
            <w:r w:rsidRPr="001821B2">
              <w:rPr>
                <w:color w:val="FFFFFF" w:themeColor="background1"/>
              </w:rPr>
              <w:t xml:space="preserve">17. </w:t>
            </w:r>
            <w:r>
              <w:rPr>
                <w:color w:val="FFFFFF" w:themeColor="background1"/>
              </w:rPr>
              <w:t>M</w:t>
            </w:r>
            <w:r w:rsidRPr="001821B2">
              <w:rPr>
                <w:color w:val="FFFFFF" w:themeColor="background1"/>
              </w:rPr>
              <w:t xml:space="preserve">obile app as an alternative </w:t>
            </w:r>
            <w:r w:rsidRPr="001821B2">
              <w:rPr>
                <w:color w:val="FFFFFF" w:themeColor="background1"/>
              </w:rPr>
              <w:lastRenderedPageBreak/>
              <w:t>channel to connect to “112”</w:t>
            </w:r>
          </w:p>
        </w:tc>
        <w:tc>
          <w:tcPr>
            <w:tcW w:w="445" w:type="dxa"/>
            <w:vMerge w:val="restart"/>
            <w:tcBorders>
              <w:top w:val="single" w:sz="18" w:space="0" w:color="FFFFFF"/>
              <w:right w:val="single" w:sz="2" w:space="0" w:color="FFFFFF"/>
            </w:tcBorders>
            <w:shd w:val="clear" w:color="auto" w:fill="D6E3BC"/>
            <w:vAlign w:val="center"/>
          </w:tcPr>
          <w:p w:rsidR="00A5200D" w:rsidRPr="006E7C15" w:rsidRDefault="00A5200D" w:rsidP="00A5200D"/>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A5200D" w:rsidRPr="006E7C15" w:rsidRDefault="00A5200D" w:rsidP="00A5200D"/>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A5200D" w:rsidRPr="006E7C15" w:rsidRDefault="00A5200D" w:rsidP="00A5200D">
            <w:r w:rsidRPr="006E7C15">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A5200D" w:rsidRPr="006E7C15" w:rsidRDefault="00A5200D" w:rsidP="00A5200D"/>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rsidR="00A5200D" w:rsidRPr="001821B2" w:rsidRDefault="00A5200D" w:rsidP="00A5200D">
            <w:pPr>
              <w:spacing w:after="120"/>
              <w:jc w:val="center"/>
              <w:rPr>
                <w:szCs w:val="22"/>
              </w:rPr>
            </w:pPr>
            <w:r w:rsidRPr="001821B2">
              <w:rPr>
                <w:szCs w:val="22"/>
              </w:rP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A5200D" w:rsidRPr="006E7C15" w:rsidRDefault="00A5200D" w:rsidP="00A5200D"/>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A5200D" w:rsidRPr="006E7C15" w:rsidRDefault="00A5200D" w:rsidP="00A5200D">
            <w:r w:rsidRPr="006E7C15">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A5200D" w:rsidRPr="006E7C15" w:rsidRDefault="00A5200D" w:rsidP="00A5200D"/>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A5200D" w:rsidRPr="006E7C15" w:rsidRDefault="00A5200D" w:rsidP="00A5200D"/>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A5200D" w:rsidRPr="006E7C15" w:rsidRDefault="00A5200D" w:rsidP="00A5200D"/>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A5200D" w:rsidRPr="006E7C15" w:rsidRDefault="00A5200D" w:rsidP="00A5200D"/>
        </w:tc>
        <w:tc>
          <w:tcPr>
            <w:tcW w:w="63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rsidR="00A5200D" w:rsidRPr="006E7C15" w:rsidRDefault="00A5200D" w:rsidP="00A5200D">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A5200D" w:rsidRPr="006E7C15" w:rsidRDefault="00A5200D" w:rsidP="00A5200D"/>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A5200D" w:rsidRPr="006E7C15" w:rsidRDefault="00A5200D" w:rsidP="00A5200D"/>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A5200D" w:rsidRPr="006E7C15" w:rsidRDefault="00A5200D" w:rsidP="00A5200D">
            <w:r w:rsidRPr="006E7C15">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A5200D" w:rsidRPr="006E7C15" w:rsidRDefault="00A5200D" w:rsidP="00A5200D"/>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A5200D" w:rsidRPr="006E7C15" w:rsidRDefault="00A5200D" w:rsidP="00A5200D"/>
        </w:tc>
        <w:tc>
          <w:tcPr>
            <w:tcW w:w="343" w:type="dxa"/>
            <w:vMerge w:val="restart"/>
            <w:tcBorders>
              <w:top w:val="single" w:sz="18" w:space="0" w:color="FFFFFF"/>
              <w:left w:val="single" w:sz="2" w:space="0" w:color="FFFFFF"/>
              <w:right w:val="single" w:sz="18" w:space="0" w:color="FFFFFF"/>
            </w:tcBorders>
            <w:shd w:val="clear" w:color="auto" w:fill="D99594"/>
          </w:tcPr>
          <w:p w:rsidR="00A5200D" w:rsidRPr="006E7C15" w:rsidRDefault="00A5200D" w:rsidP="00A5200D"/>
        </w:tc>
      </w:tr>
      <w:tr w:rsidR="00A5200D" w:rsidRPr="006E7C15" w:rsidTr="00A5200D">
        <w:trPr>
          <w:trHeight w:val="974"/>
        </w:trPr>
        <w:tc>
          <w:tcPr>
            <w:tcW w:w="1596" w:type="dxa"/>
            <w:vMerge/>
            <w:tcBorders>
              <w:left w:val="single" w:sz="4" w:space="0" w:color="FFFFFF"/>
            </w:tcBorders>
            <w:shd w:val="clear" w:color="auto" w:fill="000000"/>
            <w:vAlign w:val="center"/>
          </w:tcPr>
          <w:p w:rsidR="00A5200D" w:rsidRPr="001821B2" w:rsidRDefault="00A5200D" w:rsidP="00A5200D">
            <w:pPr>
              <w:rPr>
                <w:color w:val="FFFFFF" w:themeColor="background1"/>
              </w:rPr>
            </w:pPr>
          </w:p>
        </w:tc>
        <w:tc>
          <w:tcPr>
            <w:tcW w:w="445" w:type="dxa"/>
            <w:vMerge/>
            <w:tcBorders>
              <w:right w:val="single" w:sz="2" w:space="0" w:color="FFFFFF"/>
            </w:tcBorders>
            <w:shd w:val="clear" w:color="auto" w:fill="D6E3BC"/>
            <w:vAlign w:val="center"/>
          </w:tcPr>
          <w:p w:rsidR="00A5200D" w:rsidRPr="006E7C15" w:rsidRDefault="00A5200D" w:rsidP="00A5200D"/>
        </w:tc>
        <w:tc>
          <w:tcPr>
            <w:tcW w:w="451" w:type="dxa"/>
            <w:vMerge/>
            <w:tcBorders>
              <w:left w:val="single" w:sz="2" w:space="0" w:color="FFFFFF"/>
              <w:right w:val="single" w:sz="2" w:space="0" w:color="FFFFFF"/>
            </w:tcBorders>
            <w:shd w:val="clear" w:color="auto" w:fill="D6E3BC"/>
            <w:vAlign w:val="center"/>
          </w:tcPr>
          <w:p w:rsidR="00A5200D" w:rsidRPr="006E7C15" w:rsidRDefault="00A5200D" w:rsidP="00A5200D"/>
        </w:tc>
        <w:tc>
          <w:tcPr>
            <w:tcW w:w="362" w:type="dxa"/>
            <w:vMerge/>
            <w:tcBorders>
              <w:left w:val="single" w:sz="2" w:space="0" w:color="FFFFFF"/>
              <w:right w:val="single" w:sz="2" w:space="0" w:color="FFFFFF"/>
            </w:tcBorders>
            <w:shd w:val="clear" w:color="auto" w:fill="D6E3BC"/>
            <w:vAlign w:val="center"/>
          </w:tcPr>
          <w:p w:rsidR="00A5200D" w:rsidRPr="006E7C15" w:rsidRDefault="00A5200D" w:rsidP="00A5200D">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rsidR="00A5200D" w:rsidRPr="006E7C15" w:rsidRDefault="00A5200D" w:rsidP="00A5200D"/>
        </w:tc>
        <w:tc>
          <w:tcPr>
            <w:tcW w:w="1992" w:type="dxa"/>
            <w:gridSpan w:val="4"/>
            <w:vMerge/>
            <w:tcBorders>
              <w:left w:val="single" w:sz="2" w:space="0" w:color="FFFFFF"/>
              <w:right w:val="single" w:sz="18" w:space="0" w:color="FFFFFF"/>
            </w:tcBorders>
            <w:shd w:val="clear" w:color="auto" w:fill="FBD4B4"/>
            <w:vAlign w:val="center"/>
          </w:tcPr>
          <w:p w:rsidR="00A5200D" w:rsidRPr="001821B2" w:rsidRDefault="00A5200D" w:rsidP="00A5200D">
            <w:pPr>
              <w:spacing w:after="120"/>
              <w:jc w:val="center"/>
              <w:rPr>
                <w:szCs w:val="22"/>
              </w:rPr>
            </w:pPr>
          </w:p>
        </w:tc>
        <w:tc>
          <w:tcPr>
            <w:tcW w:w="450" w:type="dxa"/>
            <w:vMerge/>
            <w:tcBorders>
              <w:left w:val="single" w:sz="18" w:space="0" w:color="FFFFFF"/>
              <w:right w:val="single" w:sz="2" w:space="0" w:color="FFFFFF"/>
            </w:tcBorders>
            <w:shd w:val="clear" w:color="auto" w:fill="CCC0D9"/>
            <w:vAlign w:val="center"/>
          </w:tcPr>
          <w:p w:rsidR="00A5200D" w:rsidRPr="006E7C15" w:rsidRDefault="00A5200D" w:rsidP="00A5200D"/>
        </w:tc>
        <w:tc>
          <w:tcPr>
            <w:tcW w:w="360" w:type="dxa"/>
            <w:vMerge/>
            <w:tcBorders>
              <w:left w:val="single" w:sz="2" w:space="0" w:color="FFFFFF"/>
              <w:right w:val="single" w:sz="2" w:space="0" w:color="FFFFFF"/>
            </w:tcBorders>
            <w:shd w:val="clear" w:color="auto" w:fill="CCC0D9"/>
            <w:vAlign w:val="center"/>
          </w:tcPr>
          <w:p w:rsidR="00A5200D" w:rsidRPr="006E7C15" w:rsidRDefault="00A5200D" w:rsidP="00A5200D">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rsidR="00A5200D" w:rsidRPr="006E7C15" w:rsidRDefault="00A5200D" w:rsidP="00A5200D"/>
        </w:tc>
        <w:tc>
          <w:tcPr>
            <w:tcW w:w="360" w:type="dxa"/>
            <w:vMerge/>
            <w:tcBorders>
              <w:left w:val="single" w:sz="2" w:space="0" w:color="FFFFFF"/>
              <w:right w:val="single" w:sz="18" w:space="0" w:color="FFFFFF"/>
            </w:tcBorders>
            <w:shd w:val="clear" w:color="auto" w:fill="CCC0D9"/>
            <w:vAlign w:val="center"/>
          </w:tcPr>
          <w:p w:rsidR="00A5200D" w:rsidRPr="006E7C15" w:rsidRDefault="00A5200D" w:rsidP="00A5200D"/>
        </w:tc>
        <w:tc>
          <w:tcPr>
            <w:tcW w:w="540" w:type="dxa"/>
            <w:vMerge/>
            <w:tcBorders>
              <w:left w:val="single" w:sz="18" w:space="0" w:color="FFFFFF"/>
              <w:right w:val="single" w:sz="4" w:space="0" w:color="FFFFFF" w:themeColor="background1"/>
            </w:tcBorders>
            <w:shd w:val="clear" w:color="auto" w:fill="B8CCE4"/>
            <w:vAlign w:val="center"/>
          </w:tcPr>
          <w:p w:rsidR="00A5200D" w:rsidRPr="006E7C15" w:rsidRDefault="00A5200D" w:rsidP="00A5200D"/>
        </w:tc>
        <w:tc>
          <w:tcPr>
            <w:tcW w:w="450" w:type="dxa"/>
            <w:vMerge/>
            <w:tcBorders>
              <w:left w:val="single" w:sz="4" w:space="0" w:color="FFFFFF" w:themeColor="background1"/>
              <w:right w:val="single" w:sz="4" w:space="0" w:color="FFFFFF" w:themeColor="background1"/>
            </w:tcBorders>
            <w:shd w:val="clear" w:color="auto" w:fill="B8CCE4"/>
            <w:vAlign w:val="center"/>
          </w:tcPr>
          <w:p w:rsidR="00A5200D" w:rsidRPr="006E7C15" w:rsidRDefault="00A5200D" w:rsidP="00A5200D"/>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A5200D" w:rsidRPr="006E7C15" w:rsidRDefault="00A5200D" w:rsidP="00A5200D"/>
        </w:tc>
        <w:tc>
          <w:tcPr>
            <w:tcW w:w="461" w:type="dxa"/>
            <w:tcBorders>
              <w:left w:val="single" w:sz="4" w:space="0" w:color="FFFFFF" w:themeColor="background1"/>
              <w:right w:val="single" w:sz="18" w:space="0" w:color="FFFFFF"/>
            </w:tcBorders>
            <w:shd w:val="clear" w:color="auto" w:fill="B8CCE4"/>
            <w:vAlign w:val="center"/>
          </w:tcPr>
          <w:p w:rsidR="00A5200D" w:rsidRPr="006E7C15" w:rsidRDefault="00A5200D" w:rsidP="00A5200D">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rsidR="00A5200D" w:rsidRPr="006E7C15" w:rsidRDefault="00A5200D" w:rsidP="00A5200D"/>
        </w:tc>
        <w:tc>
          <w:tcPr>
            <w:tcW w:w="540" w:type="dxa"/>
            <w:vMerge/>
            <w:tcBorders>
              <w:left w:val="single" w:sz="2" w:space="0" w:color="FFFFFF"/>
              <w:right w:val="single" w:sz="2" w:space="0" w:color="FFFFFF"/>
            </w:tcBorders>
            <w:shd w:val="clear" w:color="auto" w:fill="D99594"/>
            <w:vAlign w:val="center"/>
          </w:tcPr>
          <w:p w:rsidR="00A5200D" w:rsidRPr="006E7C15" w:rsidRDefault="00A5200D" w:rsidP="00A5200D">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rsidR="00A5200D" w:rsidRPr="006E7C15" w:rsidRDefault="00A5200D" w:rsidP="00A5200D"/>
        </w:tc>
        <w:tc>
          <w:tcPr>
            <w:tcW w:w="342" w:type="dxa"/>
            <w:vMerge/>
            <w:tcBorders>
              <w:left w:val="single" w:sz="2" w:space="0" w:color="FFFFFF"/>
              <w:right w:val="single" w:sz="2" w:space="0" w:color="FFFFFF"/>
            </w:tcBorders>
            <w:shd w:val="clear" w:color="auto" w:fill="D99594"/>
            <w:vAlign w:val="center"/>
          </w:tcPr>
          <w:p w:rsidR="00A5200D" w:rsidRPr="006E7C15" w:rsidRDefault="00A5200D" w:rsidP="00A5200D"/>
        </w:tc>
        <w:tc>
          <w:tcPr>
            <w:tcW w:w="343" w:type="dxa"/>
            <w:vMerge/>
            <w:tcBorders>
              <w:left w:val="single" w:sz="2" w:space="0" w:color="FFFFFF"/>
              <w:right w:val="single" w:sz="18" w:space="0" w:color="FFFFFF"/>
            </w:tcBorders>
            <w:shd w:val="clear" w:color="auto" w:fill="D99594"/>
          </w:tcPr>
          <w:p w:rsidR="00A5200D" w:rsidRPr="006E7C15" w:rsidRDefault="00A5200D" w:rsidP="00A5200D"/>
        </w:tc>
      </w:tr>
    </w:tbl>
    <w:p w:rsidR="00617421" w:rsidRDefault="00617421" w:rsidP="00821026">
      <w:pPr>
        <w:spacing w:after="120"/>
        <w:rPr>
          <w:szCs w:val="22"/>
        </w:rPr>
      </w:pPr>
    </w:p>
    <w:p w:rsidR="00617421" w:rsidRDefault="00617421" w:rsidP="00821026">
      <w:pPr>
        <w:spacing w:after="120"/>
        <w:rPr>
          <w:szCs w:val="22"/>
        </w:rPr>
      </w:pPr>
    </w:p>
    <w:p w:rsidR="00FF7B5E" w:rsidRDefault="00FF7B5E" w:rsidP="00821026">
      <w:pPr>
        <w:spacing w:after="120"/>
        <w:rPr>
          <w:szCs w:val="22"/>
        </w:rPr>
      </w:pPr>
    </w:p>
    <w:p w:rsidR="00617421" w:rsidRPr="00AB21CB" w:rsidRDefault="00617421" w:rsidP="00FE5928">
      <w:pPr>
        <w:pStyle w:val="Heading3"/>
      </w:pPr>
      <w:bookmarkStart w:id="65" w:name="_Toc525759444"/>
      <w:r w:rsidRPr="0010229D">
        <w:t xml:space="preserve">Commitment </w:t>
      </w:r>
      <w:r w:rsidRPr="004B1C12">
        <w:t>A</w:t>
      </w:r>
      <w:r w:rsidRPr="0010229D">
        <w:t>im:</w:t>
      </w:r>
      <w:bookmarkEnd w:id="65"/>
    </w:p>
    <w:p w:rsidR="00617421" w:rsidRDefault="00617421" w:rsidP="00821026">
      <w:pPr>
        <w:pStyle w:val="Normalrglronly"/>
        <w:rPr>
          <w:b/>
        </w:rPr>
      </w:pPr>
      <w:r>
        <w:t xml:space="preserve">The Legal Entity of Public Law (LEPL) “112” Emergency Response Center under the Ministry of Internal Affairs of Georgia, </w:t>
      </w:r>
      <w:r w:rsidR="00D6521D">
        <w:t xml:space="preserve">made </w:t>
      </w:r>
      <w:r>
        <w:t xml:space="preserve">a commitment to launch a mobile application which would decrease emergency assistance </w:t>
      </w:r>
      <w:r w:rsidR="00D6521D">
        <w:t xml:space="preserve">response time </w:t>
      </w:r>
      <w:r>
        <w:t xml:space="preserve">by locating the user using GPS signal. The application would feature a SOS button, especially convenient for calling for emergency in extremely critical situations when a caller cannot speak on the phone. </w:t>
      </w:r>
    </w:p>
    <w:p w:rsidR="00617421" w:rsidRPr="00C82219" w:rsidRDefault="00617421" w:rsidP="00FE5928">
      <w:pPr>
        <w:pStyle w:val="Heading3"/>
      </w:pPr>
      <w:r w:rsidRPr="0010229D">
        <w:t>Status</w:t>
      </w:r>
    </w:p>
    <w:p w:rsidR="00617421" w:rsidRPr="0019000E" w:rsidRDefault="00617421" w:rsidP="00821026">
      <w:pPr>
        <w:pStyle w:val="Normalrglronly"/>
        <w:rPr>
          <w:b/>
        </w:rPr>
      </w:pPr>
      <w:r w:rsidRPr="004B1C12">
        <w:rPr>
          <w:b/>
        </w:rPr>
        <w:t xml:space="preserve">Midterm: </w:t>
      </w:r>
      <w:r w:rsidRPr="004B1C12">
        <w:rPr>
          <w:b/>
          <w:color w:val="000000" w:themeColor="text1"/>
        </w:rPr>
        <w:t>Substantial</w:t>
      </w:r>
    </w:p>
    <w:p w:rsidR="00617421" w:rsidRPr="00AB21CB" w:rsidRDefault="00617421" w:rsidP="00821026">
      <w:pPr>
        <w:pStyle w:val="Normalrglronly"/>
      </w:pPr>
      <w:r>
        <w:rPr>
          <w:color w:val="auto"/>
        </w:rPr>
        <w:t>By the midterm, the mobile application was already developed and ready to be launched in fall 2017. The “112” partner</w:t>
      </w:r>
      <w:r w:rsidR="00D6521D">
        <w:rPr>
          <w:color w:val="auto"/>
        </w:rPr>
        <w:t>ed</w:t>
      </w:r>
      <w:r>
        <w:rPr>
          <w:color w:val="auto"/>
        </w:rPr>
        <w:t xml:space="preserve"> with leading Georgian universities to involve students in testing the application for operational glitches, and general usability. The “112” planned to conduct awareness raising activities in February 2018.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Pr>
          <w:rStyle w:val="EndnoteReference"/>
          <w:color w:val="auto"/>
        </w:rPr>
        <w:endnoteReference w:id="78"/>
      </w:r>
      <w:r w:rsidRPr="0010229D">
        <w:rPr>
          <w:i/>
          <w:color w:val="4F81BD" w:themeColor="accent1"/>
        </w:rPr>
        <w:t> </w:t>
      </w:r>
    </w:p>
    <w:p w:rsidR="00617421" w:rsidRPr="004B1C12"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rsidR="00617421" w:rsidRPr="00E2295D" w:rsidRDefault="00617421" w:rsidP="00C82219">
      <w:pPr>
        <w:rPr>
          <w:rFonts w:ascii="Sylfaen" w:hAnsi="Sylfaen"/>
          <w:b/>
          <w:bCs/>
          <w:lang w:val="ka-GE"/>
        </w:rPr>
      </w:pPr>
      <w:bookmarkStart w:id="66" w:name="_Toc525759446"/>
      <w:r w:rsidRPr="00C82219">
        <w:rPr>
          <w:color w:val="auto"/>
          <w:szCs w:val="22"/>
        </w:rPr>
        <w:t>The application was launched in February 2018 in its full capacity. According to the “112”, the application has more than 15,000 users, who downloaded and retained the application on their mobile phones.</w:t>
      </w:r>
      <w:r w:rsidRPr="00677D30">
        <w:rPr>
          <w:rStyle w:val="EndnoteReference"/>
          <w:bCs/>
        </w:rPr>
        <w:endnoteReference w:id="79"/>
      </w:r>
      <w:r w:rsidRPr="00C82219">
        <w:rPr>
          <w:color w:val="auto"/>
          <w:szCs w:val="22"/>
        </w:rPr>
        <w:t xml:space="preserve"> The application offers three types of services: 1) the user can make a call to “112” and request emergency response, 2) the application offers online chat which allows requesting emergency response, and 3) SOS button for cases of extreme danger such as domestic violence, kidnapping and others, when the user is unable to communicate with the “112”. According to the statistics provided by the “112”, from February 2018 to </w:t>
      </w:r>
      <w:r w:rsidR="00DA43DA">
        <w:rPr>
          <w:color w:val="auto"/>
          <w:szCs w:val="22"/>
        </w:rPr>
        <w:t>October 2018</w:t>
      </w:r>
      <w:r w:rsidRPr="00C82219">
        <w:rPr>
          <w:color w:val="auto"/>
          <w:szCs w:val="22"/>
        </w:rPr>
        <w:t>, the response center registered 312 SOS requests and 687 requests through the chat of the mobile application, while calls through the application are registered as regul</w:t>
      </w:r>
      <w:r>
        <w:rPr>
          <w:color w:val="auto"/>
          <w:szCs w:val="22"/>
        </w:rPr>
        <w:t>ar calls and are not visible in application statistics</w:t>
      </w:r>
      <w:r w:rsidRPr="00C82219">
        <w:rPr>
          <w:color w:val="auto"/>
          <w:szCs w:val="22"/>
        </w:rPr>
        <w:t>.</w:t>
      </w:r>
      <w:r w:rsidRPr="00C82219">
        <w:rPr>
          <w:rStyle w:val="EndnoteReference"/>
          <w:bCs/>
        </w:rPr>
        <w:endnoteReference w:id="80"/>
      </w:r>
    </w:p>
    <w:p w:rsidR="00617421" w:rsidRDefault="00617421" w:rsidP="00821026"/>
    <w:p w:rsidR="00617421" w:rsidRDefault="00617421" w:rsidP="00821026">
      <w:r>
        <w:t>The “112” conducted several meetings with students (Georgian and international) to test the application and collect user feedback.</w:t>
      </w:r>
      <w:r>
        <w:rPr>
          <w:rStyle w:val="EndnoteReference"/>
        </w:rPr>
        <w:endnoteReference w:id="81"/>
      </w:r>
      <w:r>
        <w:t xml:space="preserve"> According to the “112”, one of the main recommendations provided from the citizens referred to adding basic health information along with blood type in the registration part of the application. The recommendation was taken into account, and the change will be added, along with adaptations for blind and visually impaired, which will be fully enacted by the end of November 2018.</w:t>
      </w:r>
      <w:r>
        <w:rPr>
          <w:rStyle w:val="EndnoteReference"/>
        </w:rPr>
        <w:endnoteReference w:id="82"/>
      </w:r>
      <w:r>
        <w:t xml:space="preserve"> </w:t>
      </w:r>
    </w:p>
    <w:p w:rsidR="00617421" w:rsidRDefault="00617421" w:rsidP="00821026"/>
    <w:p w:rsidR="00617421" w:rsidRPr="004371F7" w:rsidRDefault="00617421" w:rsidP="00821026">
      <w:r>
        <w:t xml:space="preserve">The “112” also took IRM’s recommendation to use this application for informing citizens. Namely, the responsible entity added tips and recommendations for different emergency situations, available to all users of the application. Additionally, with collaboration with UNDP, the “112” plans to join </w:t>
      </w:r>
      <w:r w:rsidR="00FB094E">
        <w:t xml:space="preserve">a </w:t>
      </w:r>
      <w:r>
        <w:t xml:space="preserve">campaign against domestic violence, as well as to add information on </w:t>
      </w:r>
      <w:r>
        <w:lastRenderedPageBreak/>
        <w:t xml:space="preserve">regional organizations and centers </w:t>
      </w:r>
      <w:r w:rsidR="004237DB">
        <w:t>that</w:t>
      </w:r>
      <w:r>
        <w:t xml:space="preserve"> victim</w:t>
      </w:r>
      <w:r w:rsidR="004237DB">
        <w:t>s</w:t>
      </w:r>
      <w:r>
        <w:t xml:space="preserve"> of domestic violence can </w:t>
      </w:r>
      <w:r w:rsidR="004237DB">
        <w:t xml:space="preserve">reach out to </w:t>
      </w:r>
      <w:r>
        <w:t>in case of need.</w:t>
      </w:r>
      <w:r>
        <w:rPr>
          <w:rStyle w:val="EndnoteReference"/>
        </w:rPr>
        <w:endnoteReference w:id="83"/>
      </w:r>
      <w:r>
        <w:t xml:space="preserve"> </w:t>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66"/>
    </w:p>
    <w:p w:rsidR="00617421" w:rsidRDefault="00617421" w:rsidP="00C439CF">
      <w:pPr>
        <w:rPr>
          <w:b/>
          <w:color w:val="000000" w:themeColor="text1"/>
        </w:rPr>
      </w:pPr>
      <w:r w:rsidRPr="004B1C12">
        <w:rPr>
          <w:b/>
          <w:color w:val="000000" w:themeColor="text1"/>
        </w:rPr>
        <w:t>Did Not Change</w:t>
      </w:r>
    </w:p>
    <w:p w:rsidR="00617421" w:rsidRPr="004B1C12" w:rsidRDefault="00617421" w:rsidP="00821026"/>
    <w:p w:rsidR="00617421" w:rsidRPr="001E086D" w:rsidRDefault="00617421" w:rsidP="00821026">
      <w:r>
        <w:t xml:space="preserve">The commitment aimed at providing citizens with easier access to the emergency response service of the “112” by launching a mobile application. While the mobile application is a step forward towards reducing emergency response time and simplifying citizen access to the services, including the benefit for tourists and other non-Georgian speakers, the commitment does not answer OGP values directly. While useful tips for different emergency situations is beneficial for users, this feature does not entail disclosing information previously unavailable to citizens. </w:t>
      </w:r>
    </w:p>
    <w:p w:rsidR="00617421" w:rsidRDefault="00617421" w:rsidP="00FE5928">
      <w:pPr>
        <w:pStyle w:val="Heading3"/>
      </w:pPr>
      <w:bookmarkStart w:id="67" w:name="_Toc525759447"/>
      <w:r w:rsidRPr="0010229D">
        <w:t xml:space="preserve">Carried </w:t>
      </w:r>
      <w:r w:rsidRPr="004B1C12">
        <w:t>F</w:t>
      </w:r>
      <w:r w:rsidRPr="0010229D">
        <w:t>orward?</w:t>
      </w:r>
      <w:bookmarkEnd w:id="67"/>
    </w:p>
    <w:p w:rsidR="00617421" w:rsidRPr="00AB21CB" w:rsidRDefault="00DE6212" w:rsidP="00AB21CB">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7A6321">
        <w:rPr>
          <w:color w:val="000000" w:themeColor="text1"/>
        </w:rPr>
        <w:t>19</w:t>
      </w:r>
      <w:r w:rsidR="00617421">
        <w:t xml:space="preserve">. </w:t>
      </w:r>
      <w:bookmarkStart w:id="68" w:name="_Toc525759448"/>
    </w:p>
    <w:p w:rsidR="00617421" w:rsidRDefault="00617421" w:rsidP="00565626">
      <w:pPr>
        <w:tabs>
          <w:tab w:val="clear" w:pos="2880"/>
        </w:tabs>
        <w:rPr>
          <w:rFonts w:eastAsiaTheme="majorEastAsia"/>
          <w:b/>
          <w:bCs/>
          <w:color w:val="1F497D" w:themeColor="text2"/>
          <w:sz w:val="26"/>
          <w:szCs w:val="26"/>
        </w:rPr>
      </w:pPr>
    </w:p>
    <w:p w:rsidR="00565626" w:rsidRDefault="00565626" w:rsidP="00565626">
      <w:pPr>
        <w:tabs>
          <w:tab w:val="clear" w:pos="2880"/>
        </w:tabs>
        <w:rPr>
          <w:rFonts w:eastAsiaTheme="majorEastAsia"/>
          <w:b/>
          <w:bCs/>
          <w:color w:val="1F497D" w:themeColor="text2"/>
          <w:sz w:val="26"/>
          <w:szCs w:val="26"/>
        </w:rPr>
      </w:pPr>
    </w:p>
    <w:p w:rsidR="00565626" w:rsidRPr="00565626" w:rsidRDefault="00565626" w:rsidP="00565626">
      <w:pPr>
        <w:tabs>
          <w:tab w:val="clear" w:pos="2880"/>
        </w:tabs>
        <w:rPr>
          <w:rFonts w:eastAsiaTheme="majorEastAsia"/>
          <w:b/>
          <w:bCs/>
          <w:color w:val="1F497D" w:themeColor="text2"/>
          <w:sz w:val="26"/>
          <w:szCs w:val="26"/>
        </w:rPr>
        <w:sectPr w:rsidR="00565626" w:rsidRPr="00565626"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3F30AE" w:rsidRDefault="003F30AE" w:rsidP="00C82219">
      <w:pPr>
        <w:pStyle w:val="Heading2"/>
      </w:pPr>
      <w:r>
        <w:lastRenderedPageBreak/>
        <w:br/>
      </w:r>
    </w:p>
    <w:p w:rsidR="003F30AE" w:rsidRDefault="003F30AE" w:rsidP="00C82219">
      <w:pPr>
        <w:pStyle w:val="Heading2"/>
        <w:sectPr w:rsidR="003F30AE"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3F30AE" w:rsidRDefault="003F30AE" w:rsidP="003F30AE">
      <w:pPr>
        <w:pStyle w:val="Heading2"/>
      </w:pPr>
      <w:bookmarkStart w:id="69" w:name="_Toc530910737"/>
      <w:bookmarkStart w:id="70" w:name="_Toc409220390"/>
      <w:r>
        <w:lastRenderedPageBreak/>
        <w:t>18. Development of Local Councils for crime prevention</w:t>
      </w:r>
      <w:bookmarkEnd w:id="69"/>
      <w:bookmarkEnd w:id="70"/>
    </w:p>
    <w:p w:rsidR="003F30AE" w:rsidRPr="000B6AC3" w:rsidRDefault="003F30AE" w:rsidP="003F30AE">
      <w:pPr>
        <w:pStyle w:val="Normalrglronly"/>
        <w:rPr>
          <w:b/>
        </w:rPr>
      </w:pPr>
      <w:r w:rsidRPr="000B6AC3">
        <w:rPr>
          <w:b/>
        </w:rPr>
        <w:t>Commitment Text:</w:t>
      </w:r>
    </w:p>
    <w:p w:rsidR="003F30AE" w:rsidRDefault="003F30AE" w:rsidP="003F30AE">
      <w:pPr>
        <w:pStyle w:val="APQuotefeaturetol"/>
      </w:pPr>
      <w:r>
        <w:t>Starting from 2016, the Prosecutor’s Office of Georgia launched the project “Local Council”, the goal of which is to coordinate the crime prevention measures between relevant agencies and initiate new measures. At the current stage, crime prevention is a prerogative of a number of government agencies. Enhancing coordination between them is essential to avoid implementation of duplicate prevention measures by various agencies.</w:t>
      </w:r>
    </w:p>
    <w:p w:rsidR="003F30AE" w:rsidRDefault="003F30AE" w:rsidP="003F30AE">
      <w:pPr>
        <w:pStyle w:val="APQuotefeaturetol"/>
      </w:pPr>
      <w:r>
        <w:t xml:space="preserve">The main goal of the project is to discuss criminal situation in the region, to make decisions about preventive measures required for the region, to develop initiatives and to </w:t>
      </w:r>
      <w:r w:rsidRPr="00760EAC">
        <w:t>draw up a coordination plan about fighting crime in cooperation with other government agencies and nongovernmental organizations. The project was created according to the model of the USA and represents a coordination organ on the regional level. Permanent members of the Council</w:t>
      </w:r>
      <w:r>
        <w:t xml:space="preserve"> are the representatives of the law-enforcement (Prosecutor’s Office, Ministry of Interiors, Ministry of Corrections), municipalities, lawyers’ corps, NGOs. The Council may also have temporary members from the civil society.</w:t>
      </w:r>
    </w:p>
    <w:p w:rsidR="003F30AE" w:rsidRDefault="003F30AE" w:rsidP="003F30AE">
      <w:pPr>
        <w:pStyle w:val="APQuotefeaturetol"/>
      </w:pPr>
      <w:r>
        <w:t xml:space="preserve">Implementation of Local Councils was launched in a pilot regime in Adjara region. In the framework of the commitment, Local Councils will be set up in Kvemo Kartli, Samegrelo in the nearest future and later in other regions of Georgia. </w:t>
      </w:r>
    </w:p>
    <w:p w:rsidR="003F30AE" w:rsidRDefault="003F30AE" w:rsidP="003F30AE"/>
    <w:p w:rsidR="003F30AE" w:rsidRPr="00A11638" w:rsidRDefault="003F30AE" w:rsidP="003F30AE">
      <w:pPr>
        <w:pStyle w:val="Normalrglronly"/>
      </w:pPr>
      <w:r w:rsidRPr="00D32670">
        <w:rPr>
          <w:b/>
        </w:rPr>
        <w:t>Responsible institution(s):</w:t>
      </w:r>
      <w:r w:rsidRPr="00A11638">
        <w:t xml:space="preserve"> Prosecutor’s Office of Georgia</w:t>
      </w:r>
    </w:p>
    <w:p w:rsidR="003F30AE" w:rsidRDefault="003F30AE" w:rsidP="003F30AE">
      <w:pPr>
        <w:rPr>
          <w:b/>
          <w:szCs w:val="22"/>
        </w:rPr>
      </w:pPr>
      <w:r w:rsidRPr="00D32670">
        <w:rPr>
          <w:b/>
        </w:rPr>
        <w:t>Supporting institution(s):</w:t>
      </w:r>
      <w:r w:rsidRPr="00A11638">
        <w:t xml:space="preserve"> Municipality bodies, National Probation Agency, Ministry of Internal Affairs, Nongovernmental organizations</w:t>
      </w:r>
      <w:r w:rsidRPr="004A752A">
        <w:rPr>
          <w:b/>
          <w:szCs w:val="22"/>
        </w:rPr>
        <w:t xml:space="preserve"> </w:t>
      </w:r>
    </w:p>
    <w:p w:rsidR="003F30AE" w:rsidRDefault="003F30AE" w:rsidP="003F30AE">
      <w:pPr>
        <w:rPr>
          <w:b/>
          <w:szCs w:val="22"/>
        </w:rPr>
      </w:pPr>
    </w:p>
    <w:p w:rsidR="003F30AE" w:rsidRDefault="003F30AE" w:rsidP="003F30AE">
      <w:pPr>
        <w:rPr>
          <w:szCs w:val="22"/>
        </w:rPr>
      </w:pPr>
      <w:r w:rsidRPr="00A428B2">
        <w:rPr>
          <w:b/>
          <w:szCs w:val="22"/>
        </w:rPr>
        <w:t>Start date:</w:t>
      </w:r>
      <w:r w:rsidRPr="00A11638">
        <w:rPr>
          <w:szCs w:val="22"/>
        </w:rPr>
        <w:t xml:space="preserve"> March 2016</w:t>
      </w:r>
      <w:r w:rsidRPr="00A11638">
        <w:rPr>
          <w:szCs w:val="22"/>
        </w:rPr>
        <w:tab/>
      </w:r>
      <w:r>
        <w:rPr>
          <w:szCs w:val="22"/>
        </w:rPr>
        <w:t xml:space="preserve"> </w:t>
      </w:r>
      <w:r w:rsidRPr="00D32670">
        <w:rPr>
          <w:b/>
          <w:szCs w:val="22"/>
        </w:rPr>
        <w:t>End date:</w:t>
      </w:r>
      <w:r w:rsidRPr="00A11638">
        <w:rPr>
          <w:szCs w:val="22"/>
        </w:rPr>
        <w:t xml:space="preserve"> December 2017</w:t>
      </w:r>
    </w:p>
    <w:p w:rsidR="00E60731" w:rsidRPr="004A752A" w:rsidRDefault="00E60731" w:rsidP="003F30AE">
      <w:pPr>
        <w:rPr>
          <w:szCs w:val="22"/>
        </w:rPr>
      </w:pPr>
    </w:p>
    <w:tbl>
      <w:tblPr>
        <w:tblW w:w="10971"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73"/>
        <w:gridCol w:w="384"/>
        <w:gridCol w:w="429"/>
        <w:gridCol w:w="363"/>
        <w:gridCol w:w="435"/>
        <w:gridCol w:w="425"/>
        <w:gridCol w:w="441"/>
        <w:gridCol w:w="691"/>
        <w:gridCol w:w="450"/>
        <w:gridCol w:w="360"/>
        <w:gridCol w:w="366"/>
        <w:gridCol w:w="444"/>
        <w:gridCol w:w="540"/>
        <w:gridCol w:w="450"/>
        <w:gridCol w:w="546"/>
        <w:gridCol w:w="450"/>
        <w:gridCol w:w="455"/>
        <w:gridCol w:w="445"/>
        <w:gridCol w:w="450"/>
        <w:gridCol w:w="450"/>
        <w:gridCol w:w="356"/>
      </w:tblGrid>
      <w:tr w:rsidR="003F30AE" w:rsidRPr="004B1C12" w:rsidTr="00E60731">
        <w:trPr>
          <w:trHeight w:val="405"/>
        </w:trPr>
        <w:tc>
          <w:tcPr>
            <w:tcW w:w="1668" w:type="dxa"/>
            <w:vMerge w:val="restart"/>
            <w:tcBorders>
              <w:top w:val="single" w:sz="18" w:space="0" w:color="FFFFFF"/>
              <w:left w:val="single" w:sz="4" w:space="0" w:color="FFFFFF"/>
              <w:right w:val="single" w:sz="18" w:space="0" w:color="FFFFFF"/>
            </w:tcBorders>
            <w:shd w:val="clear" w:color="auto" w:fill="000000"/>
            <w:vAlign w:val="center"/>
          </w:tcPr>
          <w:p w:rsidR="003F30AE" w:rsidRPr="0010229D" w:rsidRDefault="003F30AE" w:rsidP="003F30AE">
            <w:pPr>
              <w:rPr>
                <w:color w:val="FFFFFF" w:themeColor="background1"/>
              </w:rPr>
            </w:pPr>
            <w:r w:rsidRPr="0010229D">
              <w:rPr>
                <w:color w:val="FFFFFF" w:themeColor="background1"/>
              </w:rPr>
              <w:t>Commitment Overview</w:t>
            </w:r>
          </w:p>
        </w:tc>
        <w:tc>
          <w:tcPr>
            <w:tcW w:w="1549" w:type="dxa"/>
            <w:gridSpan w:val="4"/>
            <w:vMerge w:val="restart"/>
            <w:tcBorders>
              <w:top w:val="single" w:sz="18" w:space="0" w:color="FFFFFF"/>
              <w:left w:val="single" w:sz="18" w:space="0" w:color="FFFFFF"/>
              <w:right w:val="single" w:sz="18" w:space="0" w:color="FFFFFF"/>
            </w:tcBorders>
            <w:shd w:val="clear" w:color="auto" w:fill="D6E3BC"/>
            <w:vAlign w:val="center"/>
          </w:tcPr>
          <w:p w:rsidR="003F30AE" w:rsidRPr="0010229D" w:rsidRDefault="003F30AE" w:rsidP="003F30AE">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3F30AE" w:rsidRPr="0010229D" w:rsidRDefault="003F30AE" w:rsidP="003F30AE">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3F30AE" w:rsidRPr="0010229D" w:rsidRDefault="003F30AE" w:rsidP="003F30AE">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3F30AE" w:rsidRPr="0010229D" w:rsidRDefault="003F30AE" w:rsidP="003F30AE">
            <w:r w:rsidRPr="0010229D">
              <w:t>Completion</w:t>
            </w:r>
          </w:p>
        </w:tc>
        <w:tc>
          <w:tcPr>
            <w:tcW w:w="996" w:type="dxa"/>
            <w:gridSpan w:val="2"/>
            <w:tcBorders>
              <w:top w:val="single" w:sz="18" w:space="0" w:color="FFFFFF"/>
              <w:left w:val="single" w:sz="2" w:space="0" w:color="FFFFFF"/>
              <w:bottom w:val="single" w:sz="2" w:space="0" w:color="000000"/>
              <w:right w:val="single" w:sz="18" w:space="0" w:color="FFFFFF"/>
            </w:tcBorders>
            <w:shd w:val="clear" w:color="auto" w:fill="B8CCE4"/>
          </w:tcPr>
          <w:p w:rsidR="003F30AE" w:rsidRPr="0010229D" w:rsidRDefault="003F30AE" w:rsidP="003F30AE">
            <w:r w:rsidRPr="0010229D">
              <w:t>Midterm</w:t>
            </w:r>
          </w:p>
        </w:tc>
        <w:tc>
          <w:tcPr>
            <w:tcW w:w="2156" w:type="dxa"/>
            <w:gridSpan w:val="5"/>
            <w:vMerge w:val="restart"/>
            <w:tcBorders>
              <w:top w:val="single" w:sz="18" w:space="0" w:color="FFFFFF"/>
              <w:left w:val="single" w:sz="18" w:space="0" w:color="FFFFFF"/>
              <w:right w:val="single" w:sz="18" w:space="0" w:color="FFFFFF"/>
            </w:tcBorders>
            <w:shd w:val="clear" w:color="auto" w:fill="D99594"/>
          </w:tcPr>
          <w:p w:rsidR="003F30AE" w:rsidRPr="0010229D" w:rsidRDefault="003F30AE" w:rsidP="003F30AE">
            <w:r w:rsidRPr="00DE08DF">
              <w:t>Did It Open Government?</w:t>
            </w:r>
          </w:p>
        </w:tc>
      </w:tr>
      <w:tr w:rsidR="003F30AE" w:rsidRPr="004B1C12" w:rsidTr="00E60731">
        <w:trPr>
          <w:trHeight w:val="373"/>
        </w:trPr>
        <w:tc>
          <w:tcPr>
            <w:tcW w:w="1668" w:type="dxa"/>
            <w:vMerge/>
            <w:tcBorders>
              <w:left w:val="single" w:sz="4" w:space="0" w:color="FFFFFF"/>
              <w:right w:val="single" w:sz="18" w:space="0" w:color="FFFFFF"/>
            </w:tcBorders>
            <w:shd w:val="clear" w:color="auto" w:fill="000000"/>
            <w:vAlign w:val="center"/>
          </w:tcPr>
          <w:p w:rsidR="003F30AE" w:rsidRPr="0010229D" w:rsidRDefault="003F30AE" w:rsidP="003F30AE">
            <w:pPr>
              <w:rPr>
                <w:color w:val="FFFFFF" w:themeColor="background1"/>
              </w:rPr>
            </w:pPr>
          </w:p>
        </w:tc>
        <w:tc>
          <w:tcPr>
            <w:tcW w:w="1549" w:type="dxa"/>
            <w:gridSpan w:val="4"/>
            <w:vMerge/>
            <w:tcBorders>
              <w:left w:val="single" w:sz="18" w:space="0" w:color="FFFFFF"/>
              <w:bottom w:val="single" w:sz="18" w:space="0" w:color="FFFFFF"/>
              <w:right w:val="single" w:sz="18" w:space="0" w:color="FFFFFF"/>
            </w:tcBorders>
            <w:shd w:val="clear" w:color="auto" w:fill="D6E3BC"/>
            <w:vAlign w:val="center"/>
          </w:tcPr>
          <w:p w:rsidR="003F30AE" w:rsidRPr="0010229D" w:rsidRDefault="003F30AE" w:rsidP="003F30AE"/>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3F30AE" w:rsidRPr="0010229D" w:rsidRDefault="003F30AE" w:rsidP="003F30AE"/>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3F30AE" w:rsidRPr="0010229D" w:rsidRDefault="003F30AE" w:rsidP="003F30AE"/>
        </w:tc>
        <w:tc>
          <w:tcPr>
            <w:tcW w:w="990" w:type="dxa"/>
            <w:gridSpan w:val="2"/>
            <w:vMerge/>
            <w:tcBorders>
              <w:left w:val="single" w:sz="18" w:space="0" w:color="FFFFFF"/>
              <w:bottom w:val="single" w:sz="18" w:space="0" w:color="FFFFFF"/>
              <w:right w:val="single" w:sz="2" w:space="0" w:color="FFFFFF"/>
            </w:tcBorders>
            <w:shd w:val="clear" w:color="auto" w:fill="B8CCE4"/>
          </w:tcPr>
          <w:p w:rsidR="003F30AE" w:rsidRPr="0010229D" w:rsidRDefault="003F30AE" w:rsidP="003F30AE"/>
        </w:tc>
        <w:tc>
          <w:tcPr>
            <w:tcW w:w="996" w:type="dxa"/>
            <w:gridSpan w:val="2"/>
            <w:tcBorders>
              <w:top w:val="single" w:sz="2" w:space="0" w:color="000000"/>
              <w:left w:val="single" w:sz="2" w:space="0" w:color="FFFFFF"/>
              <w:bottom w:val="single" w:sz="18" w:space="0" w:color="FFFFFF"/>
              <w:right w:val="single" w:sz="18" w:space="0" w:color="FFFFFF"/>
            </w:tcBorders>
            <w:shd w:val="clear" w:color="auto" w:fill="B8CCE4"/>
          </w:tcPr>
          <w:p w:rsidR="003F30AE" w:rsidRPr="0010229D" w:rsidRDefault="003F30AE" w:rsidP="003F30AE">
            <w:r w:rsidRPr="0010229D">
              <w:t>End of Term</w:t>
            </w:r>
          </w:p>
        </w:tc>
        <w:tc>
          <w:tcPr>
            <w:tcW w:w="2156" w:type="dxa"/>
            <w:gridSpan w:val="5"/>
            <w:vMerge/>
            <w:tcBorders>
              <w:left w:val="single" w:sz="18" w:space="0" w:color="FFFFFF"/>
              <w:bottom w:val="single" w:sz="18" w:space="0" w:color="FFFFFF"/>
              <w:right w:val="single" w:sz="18" w:space="0" w:color="FFFFFF"/>
            </w:tcBorders>
            <w:shd w:val="clear" w:color="auto" w:fill="D99594"/>
          </w:tcPr>
          <w:p w:rsidR="003F30AE" w:rsidRPr="0010229D" w:rsidRDefault="003F30AE" w:rsidP="003F30AE"/>
        </w:tc>
      </w:tr>
      <w:tr w:rsidR="003F30AE" w:rsidRPr="004B1C12" w:rsidTr="00E60731">
        <w:trPr>
          <w:cantSplit/>
          <w:trHeight w:val="2336"/>
        </w:trPr>
        <w:tc>
          <w:tcPr>
            <w:tcW w:w="1668" w:type="dxa"/>
            <w:vMerge/>
            <w:tcBorders>
              <w:left w:val="single" w:sz="4" w:space="0" w:color="FFFFFF"/>
              <w:bottom w:val="single" w:sz="18" w:space="0" w:color="FFFFFF"/>
              <w:right w:val="single" w:sz="18" w:space="0" w:color="FFFFFF"/>
            </w:tcBorders>
            <w:shd w:val="clear" w:color="auto" w:fill="000000"/>
          </w:tcPr>
          <w:p w:rsidR="003F30AE" w:rsidRPr="0010229D" w:rsidRDefault="003F30AE" w:rsidP="003F30AE">
            <w:pPr>
              <w:rPr>
                <w:color w:val="FFFFFF" w:themeColor="background1"/>
              </w:rPr>
            </w:pPr>
          </w:p>
        </w:tc>
        <w:tc>
          <w:tcPr>
            <w:tcW w:w="373"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3F30AE" w:rsidRPr="0010229D" w:rsidRDefault="003F30AE" w:rsidP="003F30AE">
            <w:r w:rsidRPr="0010229D">
              <w:t>None</w:t>
            </w:r>
          </w:p>
        </w:tc>
        <w:tc>
          <w:tcPr>
            <w:tcW w:w="384"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3F30AE" w:rsidRPr="0010229D" w:rsidRDefault="003F30AE" w:rsidP="003F30AE">
            <w:r w:rsidRPr="0010229D">
              <w:t>Low</w:t>
            </w:r>
          </w:p>
        </w:tc>
        <w:tc>
          <w:tcPr>
            <w:tcW w:w="429"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3F30AE" w:rsidRPr="0010229D" w:rsidRDefault="003F30AE" w:rsidP="003F30AE">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3F30AE" w:rsidRPr="0010229D" w:rsidRDefault="003F30AE" w:rsidP="003F30AE">
            <w:r w:rsidRPr="0010229D">
              <w:t>High</w:t>
            </w:r>
          </w:p>
        </w:tc>
        <w:tc>
          <w:tcPr>
            <w:tcW w:w="43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3F30AE" w:rsidRPr="0010229D" w:rsidRDefault="003F30AE" w:rsidP="003F30AE">
            <w:r w:rsidRPr="0010229D">
              <w:t>Access to Information</w:t>
            </w:r>
          </w:p>
        </w:tc>
        <w:tc>
          <w:tcPr>
            <w:tcW w:w="42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3F30AE" w:rsidRPr="0010229D" w:rsidRDefault="003F30AE" w:rsidP="003F30AE">
            <w:r w:rsidRPr="0010229D">
              <w:t>Civic Participation</w:t>
            </w:r>
          </w:p>
        </w:tc>
        <w:tc>
          <w:tcPr>
            <w:tcW w:w="441"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3F30AE" w:rsidRPr="0010229D" w:rsidRDefault="003F30AE" w:rsidP="003F30AE">
            <w:r w:rsidRPr="0010229D">
              <w:t>Public Accountability</w:t>
            </w:r>
          </w:p>
        </w:tc>
        <w:tc>
          <w:tcPr>
            <w:tcW w:w="691"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3F30AE" w:rsidRPr="0010229D" w:rsidRDefault="003F30AE" w:rsidP="003F30AE">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3F30AE" w:rsidRPr="0010229D" w:rsidRDefault="003F30AE" w:rsidP="003F30AE">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3F30AE" w:rsidRPr="0010229D" w:rsidRDefault="003F30AE" w:rsidP="003F30AE">
            <w:r w:rsidRPr="0010229D">
              <w:t>Minor</w:t>
            </w:r>
          </w:p>
        </w:tc>
        <w:tc>
          <w:tcPr>
            <w:tcW w:w="366"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3F30AE" w:rsidRPr="0010229D" w:rsidRDefault="003F30AE" w:rsidP="003F30AE">
            <w:r w:rsidRPr="0010229D">
              <w:t>Moderate</w:t>
            </w:r>
          </w:p>
        </w:tc>
        <w:tc>
          <w:tcPr>
            <w:tcW w:w="444"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3F30AE" w:rsidRPr="0010229D" w:rsidRDefault="003F30AE" w:rsidP="003F30AE">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3F30AE" w:rsidRPr="0010229D" w:rsidRDefault="003F30AE" w:rsidP="003F30AE">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3F30AE" w:rsidRPr="0010229D" w:rsidRDefault="003F30AE" w:rsidP="003F30AE">
            <w:r w:rsidRPr="0010229D">
              <w:t>Limited</w:t>
            </w:r>
          </w:p>
        </w:tc>
        <w:tc>
          <w:tcPr>
            <w:tcW w:w="546"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3F30AE" w:rsidRPr="0010229D" w:rsidRDefault="003F30AE" w:rsidP="003F30AE">
            <w:r w:rsidRPr="0010229D">
              <w:t>Substantial</w:t>
            </w:r>
          </w:p>
        </w:tc>
        <w:tc>
          <w:tcPr>
            <w:tcW w:w="450"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3F30AE" w:rsidRPr="0010229D" w:rsidRDefault="003F30AE" w:rsidP="003F30AE">
            <w:r w:rsidRPr="0010229D">
              <w:t>Completed</w:t>
            </w:r>
          </w:p>
        </w:tc>
        <w:tc>
          <w:tcPr>
            <w:tcW w:w="455"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3F30AE" w:rsidRPr="0010229D" w:rsidRDefault="003F30AE" w:rsidP="003F30AE">
            <w:r w:rsidRPr="0010229D">
              <w:t>Worsened</w:t>
            </w:r>
          </w:p>
        </w:tc>
        <w:tc>
          <w:tcPr>
            <w:tcW w:w="445"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3F30AE" w:rsidRPr="0010229D" w:rsidRDefault="003F30AE" w:rsidP="003F30AE">
            <w:r w:rsidRPr="0010229D">
              <w:t>Did Not Change</w:t>
            </w:r>
          </w:p>
        </w:tc>
        <w:tc>
          <w:tcPr>
            <w:tcW w:w="45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3F30AE" w:rsidRPr="0010229D" w:rsidRDefault="003F30AE" w:rsidP="003F30AE">
            <w:r w:rsidRPr="0010229D">
              <w:t>Marginal</w:t>
            </w:r>
          </w:p>
        </w:tc>
        <w:tc>
          <w:tcPr>
            <w:tcW w:w="45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3F30AE" w:rsidRPr="0010229D" w:rsidRDefault="003F30AE" w:rsidP="003F30AE">
            <w:r w:rsidRPr="0010229D">
              <w:t xml:space="preserve">Major </w:t>
            </w:r>
          </w:p>
        </w:tc>
        <w:tc>
          <w:tcPr>
            <w:tcW w:w="356"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3F30AE" w:rsidRPr="0010229D" w:rsidRDefault="003F30AE" w:rsidP="003F30AE">
            <w:r w:rsidRPr="0010229D">
              <w:t>Outstanding</w:t>
            </w:r>
          </w:p>
        </w:tc>
      </w:tr>
      <w:tr w:rsidR="003F30AE" w:rsidRPr="004B1C12" w:rsidTr="00E60731">
        <w:trPr>
          <w:trHeight w:val="600"/>
        </w:trPr>
        <w:tc>
          <w:tcPr>
            <w:tcW w:w="1668" w:type="dxa"/>
            <w:vMerge w:val="restart"/>
            <w:tcBorders>
              <w:top w:val="single" w:sz="18" w:space="0" w:color="FFFFFF"/>
              <w:left w:val="single" w:sz="4" w:space="0" w:color="FFFFFF"/>
            </w:tcBorders>
            <w:shd w:val="clear" w:color="auto" w:fill="000000"/>
            <w:vAlign w:val="center"/>
          </w:tcPr>
          <w:p w:rsidR="003F30AE" w:rsidRPr="0010229D" w:rsidRDefault="003F30AE" w:rsidP="003F30AE">
            <w:pPr>
              <w:rPr>
                <w:color w:val="FFFFFF" w:themeColor="background1"/>
              </w:rPr>
            </w:pPr>
            <w:r>
              <w:rPr>
                <w:rFonts w:ascii="Segoe UI Symbol" w:hAnsi="Segoe UI Symbol" w:cs="Segoe UI Symbol"/>
                <w:color w:val="FFFFFF" w:themeColor="background1"/>
              </w:rPr>
              <w:t>18</w:t>
            </w:r>
            <w:r w:rsidRPr="000149D5">
              <w:rPr>
                <w:rFonts w:ascii="Segoe UI Symbol" w:hAnsi="Segoe UI Symbol" w:cs="Segoe UI Symbol"/>
                <w:color w:val="FFFFFF" w:themeColor="background1"/>
              </w:rPr>
              <w:t>.</w:t>
            </w:r>
            <w:r w:rsidRPr="00C1060C">
              <w:rPr>
                <w:rFonts w:ascii="Segoe UI Symbol" w:hAnsi="Segoe UI Symbol" w:cs="Segoe UI Symbol"/>
                <w:color w:val="FFFFFF" w:themeColor="background1"/>
              </w:rPr>
              <w:t xml:space="preserve"> </w:t>
            </w:r>
            <w:r w:rsidR="00A92BB9">
              <w:rPr>
                <w:rFonts w:ascii="Segoe UI Symbol" w:hAnsi="Segoe UI Symbol" w:cs="Segoe UI Symbol"/>
                <w:color w:val="FFFFFF" w:themeColor="background1"/>
              </w:rPr>
              <w:t>L</w:t>
            </w:r>
            <w:r w:rsidRPr="00C1060C">
              <w:rPr>
                <w:rFonts w:ascii="Segoe UI Symbol" w:hAnsi="Segoe UI Symbol" w:cs="Segoe UI Symbol"/>
                <w:color w:val="FFFFFF" w:themeColor="background1"/>
              </w:rPr>
              <w:t>ocal councils for crime prevention</w:t>
            </w:r>
          </w:p>
        </w:tc>
        <w:tc>
          <w:tcPr>
            <w:tcW w:w="373" w:type="dxa"/>
            <w:vMerge w:val="restart"/>
            <w:tcBorders>
              <w:top w:val="single" w:sz="18" w:space="0" w:color="FFFFFF"/>
              <w:right w:val="single" w:sz="2" w:space="0" w:color="FFFFFF"/>
            </w:tcBorders>
            <w:shd w:val="clear" w:color="auto" w:fill="D6E3BC"/>
            <w:vAlign w:val="center"/>
          </w:tcPr>
          <w:p w:rsidR="003F30AE" w:rsidRPr="0010229D" w:rsidRDefault="003F30AE" w:rsidP="003F30AE"/>
        </w:tc>
        <w:tc>
          <w:tcPr>
            <w:tcW w:w="384" w:type="dxa"/>
            <w:vMerge w:val="restart"/>
            <w:tcBorders>
              <w:top w:val="single" w:sz="18" w:space="0" w:color="FFFFFF"/>
              <w:left w:val="single" w:sz="2" w:space="0" w:color="FFFFFF"/>
              <w:right w:val="single" w:sz="2" w:space="0" w:color="FFFFFF"/>
            </w:tcBorders>
            <w:shd w:val="clear" w:color="auto" w:fill="D6E3BC"/>
            <w:vAlign w:val="center"/>
          </w:tcPr>
          <w:p w:rsidR="003F30AE" w:rsidRPr="0010229D" w:rsidRDefault="003F30AE" w:rsidP="003F30AE"/>
        </w:tc>
        <w:tc>
          <w:tcPr>
            <w:tcW w:w="429" w:type="dxa"/>
            <w:vMerge w:val="restart"/>
            <w:tcBorders>
              <w:top w:val="single" w:sz="18" w:space="0" w:color="FFFFFF"/>
              <w:left w:val="single" w:sz="2" w:space="0" w:color="FFFFFF"/>
              <w:right w:val="single" w:sz="2" w:space="0" w:color="FFFFFF"/>
            </w:tcBorders>
            <w:shd w:val="clear" w:color="auto" w:fill="D6E3BC"/>
            <w:vAlign w:val="center"/>
          </w:tcPr>
          <w:p w:rsidR="003F30AE" w:rsidRPr="0010229D" w:rsidRDefault="003F30AE" w:rsidP="003F30AE">
            <w:r w:rsidRPr="00D034D3">
              <w:rPr>
                <w:rFonts w:ascii="MS Mincho" w:eastAsia="MS Mincho" w:hAnsi="MS Mincho" w:cs="MS Mincho"/>
                <w:noProof/>
                <w:szCs w:val="22"/>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3F30AE" w:rsidRPr="0010229D" w:rsidRDefault="003F30AE" w:rsidP="003F30AE"/>
        </w:tc>
        <w:tc>
          <w:tcPr>
            <w:tcW w:w="435" w:type="dxa"/>
            <w:vMerge w:val="restart"/>
            <w:tcBorders>
              <w:top w:val="single" w:sz="18" w:space="0" w:color="FFFFFF"/>
              <w:left w:val="single" w:sz="2" w:space="0" w:color="FFFFFF"/>
              <w:right w:val="single" w:sz="2" w:space="0" w:color="FFFFFF"/>
            </w:tcBorders>
            <w:shd w:val="clear" w:color="auto" w:fill="FBD4B4"/>
            <w:vAlign w:val="center"/>
          </w:tcPr>
          <w:p w:rsidR="003F30AE" w:rsidRPr="0010229D" w:rsidRDefault="003F30AE" w:rsidP="003F30AE">
            <w:pPr>
              <w:jc w:val="center"/>
            </w:pPr>
            <w:r w:rsidRPr="00D034D3">
              <w:rPr>
                <w:rFonts w:ascii="MS Mincho" w:eastAsia="MS Mincho" w:hAnsi="MS Mincho" w:cs="MS Mincho"/>
                <w:noProof/>
                <w:szCs w:val="22"/>
              </w:rPr>
              <w:t>✔</w:t>
            </w:r>
          </w:p>
        </w:tc>
        <w:tc>
          <w:tcPr>
            <w:tcW w:w="425" w:type="dxa"/>
            <w:vMerge w:val="restart"/>
            <w:tcBorders>
              <w:top w:val="single" w:sz="18" w:space="0" w:color="FFFFFF"/>
              <w:left w:val="single" w:sz="2" w:space="0" w:color="FFFFFF"/>
              <w:right w:val="single" w:sz="2" w:space="0" w:color="FFFFFF"/>
            </w:tcBorders>
            <w:shd w:val="clear" w:color="auto" w:fill="FBD4B4"/>
            <w:vAlign w:val="center"/>
          </w:tcPr>
          <w:p w:rsidR="003F30AE" w:rsidRPr="0010229D" w:rsidRDefault="003F30AE" w:rsidP="003F30AE">
            <w:pPr>
              <w:jc w:val="center"/>
            </w:pPr>
            <w:r w:rsidRPr="00D034D3">
              <w:rPr>
                <w:rFonts w:ascii="MS Mincho" w:eastAsia="MS Mincho" w:hAnsi="MS Mincho" w:cs="MS Mincho"/>
                <w:noProof/>
                <w:szCs w:val="22"/>
              </w:rPr>
              <w:t>✔</w:t>
            </w:r>
          </w:p>
        </w:tc>
        <w:tc>
          <w:tcPr>
            <w:tcW w:w="441" w:type="dxa"/>
            <w:vMerge w:val="restart"/>
            <w:tcBorders>
              <w:top w:val="single" w:sz="18" w:space="0" w:color="FFFFFF"/>
              <w:left w:val="single" w:sz="2" w:space="0" w:color="FFFFFF"/>
              <w:right w:val="single" w:sz="2" w:space="0" w:color="FFFFFF"/>
            </w:tcBorders>
            <w:shd w:val="clear" w:color="auto" w:fill="FBD4B4"/>
            <w:vAlign w:val="center"/>
          </w:tcPr>
          <w:p w:rsidR="003F30AE" w:rsidRPr="0010229D" w:rsidRDefault="003F30AE" w:rsidP="003F30AE">
            <w:pPr>
              <w:jc w:val="center"/>
            </w:pPr>
          </w:p>
        </w:tc>
        <w:tc>
          <w:tcPr>
            <w:tcW w:w="691" w:type="dxa"/>
            <w:vMerge w:val="restart"/>
            <w:tcBorders>
              <w:top w:val="single" w:sz="18" w:space="0" w:color="FFFFFF"/>
              <w:left w:val="single" w:sz="2" w:space="0" w:color="FFFFFF"/>
              <w:right w:val="single" w:sz="18" w:space="0" w:color="FFFFFF"/>
            </w:tcBorders>
            <w:shd w:val="clear" w:color="auto" w:fill="FBD4B4"/>
            <w:vAlign w:val="center"/>
          </w:tcPr>
          <w:p w:rsidR="003F30AE" w:rsidRPr="0010229D" w:rsidRDefault="003F30AE" w:rsidP="003F30AE">
            <w:pPr>
              <w:jc w:val="center"/>
            </w:pP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3F30AE" w:rsidRPr="0010229D" w:rsidRDefault="003F30AE" w:rsidP="003F30AE"/>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3F30AE" w:rsidRPr="0010229D" w:rsidRDefault="003F30AE" w:rsidP="003F30AE"/>
        </w:tc>
        <w:tc>
          <w:tcPr>
            <w:tcW w:w="366" w:type="dxa"/>
            <w:vMerge w:val="restart"/>
            <w:tcBorders>
              <w:top w:val="single" w:sz="18" w:space="0" w:color="FFFFFF"/>
              <w:left w:val="single" w:sz="2" w:space="0" w:color="FFFFFF"/>
              <w:right w:val="single" w:sz="2" w:space="0" w:color="FFFFFF"/>
            </w:tcBorders>
            <w:shd w:val="clear" w:color="auto" w:fill="CCC0D9"/>
            <w:vAlign w:val="center"/>
          </w:tcPr>
          <w:p w:rsidR="003F30AE" w:rsidRPr="0010229D" w:rsidRDefault="003F30AE" w:rsidP="003F30AE">
            <w:r w:rsidRPr="0010229D">
              <w:rPr>
                <w:rFonts w:ascii="MS Mincho" w:eastAsia="MS Mincho" w:hAnsi="MS Mincho" w:cs="MS Mincho"/>
                <w:sz w:val="20"/>
              </w:rPr>
              <w:t>✔</w:t>
            </w:r>
          </w:p>
        </w:tc>
        <w:tc>
          <w:tcPr>
            <w:tcW w:w="444" w:type="dxa"/>
            <w:vMerge w:val="restart"/>
            <w:tcBorders>
              <w:top w:val="single" w:sz="18" w:space="0" w:color="FFFFFF"/>
              <w:left w:val="single" w:sz="2" w:space="0" w:color="FFFFFF"/>
              <w:right w:val="single" w:sz="18" w:space="0" w:color="FFFFFF"/>
            </w:tcBorders>
            <w:shd w:val="clear" w:color="auto" w:fill="CCC0D9"/>
            <w:vAlign w:val="center"/>
          </w:tcPr>
          <w:p w:rsidR="003F30AE" w:rsidRPr="0010229D" w:rsidRDefault="003F30AE" w:rsidP="003F30AE"/>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3F30AE" w:rsidRPr="0010229D" w:rsidRDefault="003F30AE" w:rsidP="003F30AE"/>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3F30AE" w:rsidRPr="0010229D" w:rsidRDefault="003F30AE" w:rsidP="003F30AE"/>
        </w:tc>
        <w:tc>
          <w:tcPr>
            <w:tcW w:w="546"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3F30AE" w:rsidRPr="0010229D" w:rsidRDefault="003F30AE" w:rsidP="003F30AE"/>
        </w:tc>
        <w:tc>
          <w:tcPr>
            <w:tcW w:w="450" w:type="dxa"/>
            <w:tcBorders>
              <w:top w:val="single" w:sz="18" w:space="0" w:color="FFFFFF"/>
              <w:left w:val="single" w:sz="4" w:space="0" w:color="FFFFFF" w:themeColor="background1"/>
              <w:right w:val="single" w:sz="18" w:space="0" w:color="FFFFFF"/>
            </w:tcBorders>
            <w:shd w:val="clear" w:color="auto" w:fill="B8CCE4"/>
            <w:vAlign w:val="center"/>
          </w:tcPr>
          <w:p w:rsidR="003F30AE" w:rsidRPr="0010229D" w:rsidRDefault="003F30AE" w:rsidP="003F30AE">
            <w:r w:rsidRPr="0010229D">
              <w:rPr>
                <w:rFonts w:ascii="MS Mincho" w:eastAsia="MS Mincho" w:hAnsi="MS Mincho" w:cs="MS Mincho"/>
                <w:sz w:val="20"/>
              </w:rPr>
              <w:t>✔</w:t>
            </w:r>
          </w:p>
        </w:tc>
        <w:tc>
          <w:tcPr>
            <w:tcW w:w="455" w:type="dxa"/>
            <w:vMerge w:val="restart"/>
            <w:tcBorders>
              <w:top w:val="single" w:sz="18" w:space="0" w:color="FFFFFF"/>
              <w:left w:val="single" w:sz="18" w:space="0" w:color="FFFFFF"/>
              <w:right w:val="single" w:sz="2" w:space="0" w:color="FFFFFF"/>
            </w:tcBorders>
            <w:shd w:val="clear" w:color="auto" w:fill="D99594"/>
            <w:vAlign w:val="center"/>
          </w:tcPr>
          <w:p w:rsidR="003F30AE" w:rsidRPr="0010229D" w:rsidRDefault="003F30AE" w:rsidP="003F30AE"/>
        </w:tc>
        <w:tc>
          <w:tcPr>
            <w:tcW w:w="445" w:type="dxa"/>
            <w:vMerge w:val="restart"/>
            <w:tcBorders>
              <w:top w:val="single" w:sz="18" w:space="0" w:color="FFFFFF"/>
              <w:left w:val="single" w:sz="2" w:space="0" w:color="FFFFFF"/>
              <w:right w:val="single" w:sz="2" w:space="0" w:color="FFFFFF"/>
            </w:tcBorders>
            <w:shd w:val="clear" w:color="auto" w:fill="D99594"/>
            <w:vAlign w:val="center"/>
          </w:tcPr>
          <w:p w:rsidR="003F30AE" w:rsidRPr="0010229D" w:rsidRDefault="003F30AE" w:rsidP="003F30AE"/>
        </w:tc>
        <w:tc>
          <w:tcPr>
            <w:tcW w:w="450" w:type="dxa"/>
            <w:vMerge w:val="restart"/>
            <w:tcBorders>
              <w:top w:val="single" w:sz="18" w:space="0" w:color="FFFFFF"/>
              <w:left w:val="single" w:sz="2" w:space="0" w:color="FFFFFF"/>
              <w:right w:val="single" w:sz="2" w:space="0" w:color="FFFFFF"/>
            </w:tcBorders>
            <w:shd w:val="clear" w:color="auto" w:fill="D99594"/>
            <w:vAlign w:val="center"/>
          </w:tcPr>
          <w:p w:rsidR="003F30AE" w:rsidRPr="0010229D" w:rsidRDefault="003F30AE" w:rsidP="003F30AE">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D99594"/>
            <w:vAlign w:val="center"/>
          </w:tcPr>
          <w:p w:rsidR="003F30AE" w:rsidRPr="0010229D" w:rsidRDefault="003F30AE" w:rsidP="003F30AE"/>
        </w:tc>
        <w:tc>
          <w:tcPr>
            <w:tcW w:w="356" w:type="dxa"/>
            <w:vMerge w:val="restart"/>
            <w:tcBorders>
              <w:top w:val="single" w:sz="18" w:space="0" w:color="FFFFFF"/>
              <w:left w:val="single" w:sz="2" w:space="0" w:color="FFFFFF"/>
              <w:right w:val="single" w:sz="18" w:space="0" w:color="FFFFFF"/>
            </w:tcBorders>
            <w:shd w:val="clear" w:color="auto" w:fill="D99594"/>
          </w:tcPr>
          <w:p w:rsidR="003F30AE" w:rsidRPr="0010229D" w:rsidRDefault="003F30AE" w:rsidP="003F30AE"/>
        </w:tc>
      </w:tr>
      <w:tr w:rsidR="003F30AE" w:rsidRPr="004B1C12" w:rsidTr="00E60731">
        <w:trPr>
          <w:trHeight w:val="636"/>
        </w:trPr>
        <w:tc>
          <w:tcPr>
            <w:tcW w:w="1668" w:type="dxa"/>
            <w:vMerge/>
            <w:tcBorders>
              <w:left w:val="nil"/>
              <w:bottom w:val="single" w:sz="18" w:space="0" w:color="FFFFFF"/>
            </w:tcBorders>
            <w:shd w:val="clear" w:color="auto" w:fill="000000"/>
            <w:vAlign w:val="center"/>
          </w:tcPr>
          <w:p w:rsidR="003F30AE" w:rsidRPr="0010229D" w:rsidRDefault="003F30AE" w:rsidP="003F30AE"/>
        </w:tc>
        <w:tc>
          <w:tcPr>
            <w:tcW w:w="373" w:type="dxa"/>
            <w:vMerge/>
            <w:tcBorders>
              <w:bottom w:val="single" w:sz="18" w:space="0" w:color="FFFFFF"/>
              <w:right w:val="single" w:sz="2" w:space="0" w:color="FFFFFF"/>
            </w:tcBorders>
            <w:shd w:val="clear" w:color="auto" w:fill="D6E3BC"/>
            <w:vAlign w:val="center"/>
          </w:tcPr>
          <w:p w:rsidR="003F30AE" w:rsidRPr="0010229D" w:rsidRDefault="003F30AE" w:rsidP="003F30AE"/>
        </w:tc>
        <w:tc>
          <w:tcPr>
            <w:tcW w:w="384" w:type="dxa"/>
            <w:vMerge/>
            <w:tcBorders>
              <w:left w:val="single" w:sz="2" w:space="0" w:color="FFFFFF"/>
              <w:bottom w:val="single" w:sz="18" w:space="0" w:color="FFFFFF"/>
              <w:right w:val="single" w:sz="2" w:space="0" w:color="FFFFFF"/>
            </w:tcBorders>
            <w:shd w:val="clear" w:color="auto" w:fill="D6E3BC"/>
            <w:vAlign w:val="center"/>
          </w:tcPr>
          <w:p w:rsidR="003F30AE" w:rsidRPr="0010229D" w:rsidRDefault="003F30AE" w:rsidP="003F30AE"/>
        </w:tc>
        <w:tc>
          <w:tcPr>
            <w:tcW w:w="429" w:type="dxa"/>
            <w:vMerge/>
            <w:tcBorders>
              <w:left w:val="single" w:sz="2" w:space="0" w:color="FFFFFF"/>
              <w:bottom w:val="single" w:sz="18" w:space="0" w:color="FFFFFF"/>
              <w:right w:val="single" w:sz="2" w:space="0" w:color="FFFFFF"/>
            </w:tcBorders>
            <w:shd w:val="clear" w:color="auto" w:fill="D6E3BC"/>
            <w:vAlign w:val="center"/>
          </w:tcPr>
          <w:p w:rsidR="003F30AE" w:rsidRPr="0010229D" w:rsidRDefault="003F30AE" w:rsidP="003F30AE"/>
        </w:tc>
        <w:tc>
          <w:tcPr>
            <w:tcW w:w="363" w:type="dxa"/>
            <w:vMerge/>
            <w:tcBorders>
              <w:left w:val="single" w:sz="2" w:space="0" w:color="FFFFFF"/>
              <w:bottom w:val="single" w:sz="18" w:space="0" w:color="FFFFFF"/>
              <w:right w:val="single" w:sz="18" w:space="0" w:color="FFFFFF"/>
            </w:tcBorders>
            <w:shd w:val="clear" w:color="auto" w:fill="D6E3BC"/>
            <w:vAlign w:val="center"/>
          </w:tcPr>
          <w:p w:rsidR="003F30AE" w:rsidRPr="0010229D" w:rsidRDefault="003F30AE" w:rsidP="003F30AE"/>
        </w:tc>
        <w:tc>
          <w:tcPr>
            <w:tcW w:w="435" w:type="dxa"/>
            <w:vMerge/>
            <w:tcBorders>
              <w:top w:val="single" w:sz="2" w:space="0" w:color="FFFFFF"/>
              <w:left w:val="single" w:sz="2" w:space="0" w:color="FFFFFF"/>
              <w:bottom w:val="single" w:sz="2" w:space="0" w:color="FFFFFF" w:themeColor="background1"/>
              <w:right w:val="single" w:sz="2" w:space="0" w:color="FFFFFF"/>
            </w:tcBorders>
            <w:shd w:val="clear" w:color="auto" w:fill="FBD4B4"/>
            <w:vAlign w:val="center"/>
          </w:tcPr>
          <w:p w:rsidR="003F30AE" w:rsidRPr="0010229D" w:rsidRDefault="003F30AE" w:rsidP="003F30AE"/>
        </w:tc>
        <w:tc>
          <w:tcPr>
            <w:tcW w:w="425" w:type="dxa"/>
            <w:vMerge/>
            <w:tcBorders>
              <w:top w:val="single" w:sz="2" w:space="0" w:color="FFFFFF"/>
              <w:left w:val="single" w:sz="2" w:space="0" w:color="FFFFFF"/>
              <w:bottom w:val="single" w:sz="2" w:space="0" w:color="FFFFFF" w:themeColor="background1"/>
              <w:right w:val="single" w:sz="2" w:space="0" w:color="FFFFFF"/>
            </w:tcBorders>
            <w:shd w:val="clear" w:color="auto" w:fill="FBD4B4"/>
            <w:vAlign w:val="center"/>
          </w:tcPr>
          <w:p w:rsidR="003F30AE" w:rsidRPr="0010229D" w:rsidRDefault="003F30AE" w:rsidP="003F30AE"/>
        </w:tc>
        <w:tc>
          <w:tcPr>
            <w:tcW w:w="441" w:type="dxa"/>
            <w:vMerge/>
            <w:tcBorders>
              <w:top w:val="single" w:sz="2" w:space="0" w:color="FFFFFF"/>
              <w:left w:val="single" w:sz="2" w:space="0" w:color="FFFFFF"/>
              <w:bottom w:val="single" w:sz="2" w:space="0" w:color="FFFFFF" w:themeColor="background1"/>
              <w:right w:val="single" w:sz="2" w:space="0" w:color="FFFFFF"/>
            </w:tcBorders>
            <w:shd w:val="clear" w:color="auto" w:fill="FBD4B4"/>
            <w:vAlign w:val="center"/>
          </w:tcPr>
          <w:p w:rsidR="003F30AE" w:rsidRPr="0010229D" w:rsidRDefault="003F30AE" w:rsidP="003F30AE"/>
        </w:tc>
        <w:tc>
          <w:tcPr>
            <w:tcW w:w="691" w:type="dxa"/>
            <w:vMerge/>
            <w:tcBorders>
              <w:top w:val="single" w:sz="2" w:space="0" w:color="FFFFFF"/>
              <w:left w:val="single" w:sz="2" w:space="0" w:color="FFFFFF"/>
              <w:bottom w:val="single" w:sz="2" w:space="0" w:color="FFFFFF" w:themeColor="background1"/>
              <w:right w:val="single" w:sz="18" w:space="0" w:color="FFFFFF"/>
            </w:tcBorders>
            <w:shd w:val="clear" w:color="auto" w:fill="FBD4B4"/>
            <w:vAlign w:val="center"/>
          </w:tcPr>
          <w:p w:rsidR="003F30AE" w:rsidRPr="0010229D" w:rsidRDefault="003F30AE" w:rsidP="003F30AE"/>
        </w:tc>
        <w:tc>
          <w:tcPr>
            <w:tcW w:w="450" w:type="dxa"/>
            <w:vMerge/>
            <w:tcBorders>
              <w:left w:val="single" w:sz="18" w:space="0" w:color="FFFFFF"/>
              <w:bottom w:val="single" w:sz="18" w:space="0" w:color="FFFFFF"/>
              <w:right w:val="single" w:sz="2" w:space="0" w:color="FFFFFF"/>
            </w:tcBorders>
            <w:shd w:val="clear" w:color="auto" w:fill="CCC0D9"/>
            <w:vAlign w:val="center"/>
          </w:tcPr>
          <w:p w:rsidR="003F30AE" w:rsidRPr="0010229D" w:rsidRDefault="003F30AE" w:rsidP="003F30AE"/>
        </w:tc>
        <w:tc>
          <w:tcPr>
            <w:tcW w:w="360" w:type="dxa"/>
            <w:vMerge/>
            <w:tcBorders>
              <w:left w:val="single" w:sz="2" w:space="0" w:color="FFFFFF"/>
              <w:bottom w:val="single" w:sz="18" w:space="0" w:color="FFFFFF"/>
              <w:right w:val="single" w:sz="2" w:space="0" w:color="FFFFFF"/>
            </w:tcBorders>
            <w:shd w:val="clear" w:color="auto" w:fill="CCC0D9"/>
            <w:vAlign w:val="center"/>
          </w:tcPr>
          <w:p w:rsidR="003F30AE" w:rsidRPr="0010229D" w:rsidRDefault="003F30AE" w:rsidP="003F30AE"/>
        </w:tc>
        <w:tc>
          <w:tcPr>
            <w:tcW w:w="366" w:type="dxa"/>
            <w:vMerge/>
            <w:tcBorders>
              <w:left w:val="single" w:sz="2" w:space="0" w:color="FFFFFF"/>
              <w:bottom w:val="single" w:sz="18" w:space="0" w:color="FFFFFF"/>
              <w:right w:val="single" w:sz="2" w:space="0" w:color="FFFFFF"/>
            </w:tcBorders>
            <w:shd w:val="clear" w:color="auto" w:fill="CCC0D9"/>
            <w:vAlign w:val="center"/>
          </w:tcPr>
          <w:p w:rsidR="003F30AE" w:rsidRPr="0010229D" w:rsidRDefault="003F30AE" w:rsidP="003F30AE"/>
        </w:tc>
        <w:tc>
          <w:tcPr>
            <w:tcW w:w="444" w:type="dxa"/>
            <w:vMerge/>
            <w:tcBorders>
              <w:left w:val="single" w:sz="2" w:space="0" w:color="FFFFFF"/>
              <w:bottom w:val="single" w:sz="18" w:space="0" w:color="FFFFFF"/>
              <w:right w:val="single" w:sz="18" w:space="0" w:color="FFFFFF"/>
            </w:tcBorders>
            <w:shd w:val="clear" w:color="auto" w:fill="CCC0D9"/>
            <w:vAlign w:val="center"/>
          </w:tcPr>
          <w:p w:rsidR="003F30AE" w:rsidRPr="0010229D" w:rsidRDefault="003F30AE" w:rsidP="003F30AE"/>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3F30AE" w:rsidRPr="0010229D" w:rsidRDefault="003F30AE" w:rsidP="003F30AE"/>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3F30AE" w:rsidRPr="0010229D" w:rsidRDefault="003F30AE" w:rsidP="003F30AE"/>
        </w:tc>
        <w:tc>
          <w:tcPr>
            <w:tcW w:w="546" w:type="dxa"/>
            <w:tcBorders>
              <w:top w:val="nil"/>
              <w:left w:val="single" w:sz="2" w:space="0" w:color="FFFFFF"/>
              <w:bottom w:val="single" w:sz="18" w:space="0" w:color="FFFFFF"/>
              <w:right w:val="single" w:sz="2" w:space="0" w:color="FFFFFF"/>
            </w:tcBorders>
            <w:shd w:val="clear" w:color="auto" w:fill="B8CCE4"/>
            <w:vAlign w:val="center"/>
          </w:tcPr>
          <w:p w:rsidR="003F30AE" w:rsidRPr="0010229D" w:rsidRDefault="003F30AE" w:rsidP="003F30AE"/>
        </w:tc>
        <w:tc>
          <w:tcPr>
            <w:tcW w:w="450" w:type="dxa"/>
            <w:tcBorders>
              <w:top w:val="nil"/>
              <w:left w:val="single" w:sz="2" w:space="0" w:color="FFFFFF"/>
              <w:bottom w:val="single" w:sz="18" w:space="0" w:color="FFFFFF"/>
              <w:right w:val="single" w:sz="18" w:space="0" w:color="FFFFFF"/>
            </w:tcBorders>
            <w:shd w:val="clear" w:color="auto" w:fill="B8CCE4"/>
            <w:vAlign w:val="center"/>
          </w:tcPr>
          <w:p w:rsidR="003F30AE" w:rsidRPr="0010229D" w:rsidRDefault="003F30AE" w:rsidP="003F30AE">
            <w:r w:rsidRPr="0010229D">
              <w:rPr>
                <w:rFonts w:ascii="MS Mincho" w:eastAsia="MS Mincho" w:hAnsi="MS Mincho" w:cs="MS Mincho"/>
                <w:sz w:val="20"/>
              </w:rPr>
              <w:t>✔</w:t>
            </w:r>
          </w:p>
        </w:tc>
        <w:tc>
          <w:tcPr>
            <w:tcW w:w="455" w:type="dxa"/>
            <w:vMerge/>
            <w:tcBorders>
              <w:left w:val="single" w:sz="18" w:space="0" w:color="FFFFFF"/>
              <w:bottom w:val="single" w:sz="18" w:space="0" w:color="FFFFFF"/>
              <w:right w:val="single" w:sz="2" w:space="0" w:color="FFFFFF"/>
            </w:tcBorders>
            <w:shd w:val="clear" w:color="auto" w:fill="D99594"/>
            <w:vAlign w:val="center"/>
          </w:tcPr>
          <w:p w:rsidR="003F30AE" w:rsidRPr="0010229D" w:rsidRDefault="003F30AE" w:rsidP="003F30AE"/>
        </w:tc>
        <w:tc>
          <w:tcPr>
            <w:tcW w:w="445" w:type="dxa"/>
            <w:vMerge/>
            <w:tcBorders>
              <w:left w:val="single" w:sz="2" w:space="0" w:color="FFFFFF"/>
              <w:bottom w:val="single" w:sz="18" w:space="0" w:color="FFFFFF"/>
              <w:right w:val="single" w:sz="2" w:space="0" w:color="FFFFFF"/>
            </w:tcBorders>
            <w:shd w:val="clear" w:color="auto" w:fill="D99594"/>
            <w:vAlign w:val="center"/>
          </w:tcPr>
          <w:p w:rsidR="003F30AE" w:rsidRPr="0010229D" w:rsidRDefault="003F30AE" w:rsidP="003F30AE"/>
        </w:tc>
        <w:tc>
          <w:tcPr>
            <w:tcW w:w="450" w:type="dxa"/>
            <w:vMerge/>
            <w:tcBorders>
              <w:left w:val="single" w:sz="2" w:space="0" w:color="FFFFFF"/>
              <w:bottom w:val="single" w:sz="18" w:space="0" w:color="FFFFFF"/>
              <w:right w:val="single" w:sz="2" w:space="0" w:color="FFFFFF"/>
            </w:tcBorders>
            <w:shd w:val="clear" w:color="auto" w:fill="D99594"/>
            <w:vAlign w:val="center"/>
          </w:tcPr>
          <w:p w:rsidR="003F30AE" w:rsidRPr="0010229D" w:rsidRDefault="003F30AE" w:rsidP="003F30AE"/>
        </w:tc>
        <w:tc>
          <w:tcPr>
            <w:tcW w:w="450" w:type="dxa"/>
            <w:vMerge/>
            <w:tcBorders>
              <w:left w:val="single" w:sz="2" w:space="0" w:color="FFFFFF"/>
              <w:bottom w:val="single" w:sz="18" w:space="0" w:color="FFFFFF"/>
              <w:right w:val="single" w:sz="2" w:space="0" w:color="FFFFFF"/>
            </w:tcBorders>
            <w:shd w:val="clear" w:color="auto" w:fill="D99594"/>
            <w:vAlign w:val="center"/>
          </w:tcPr>
          <w:p w:rsidR="003F30AE" w:rsidRPr="0010229D" w:rsidRDefault="003F30AE" w:rsidP="003F30AE"/>
        </w:tc>
        <w:tc>
          <w:tcPr>
            <w:tcW w:w="356" w:type="dxa"/>
            <w:vMerge/>
            <w:tcBorders>
              <w:left w:val="single" w:sz="2" w:space="0" w:color="FFFFFF"/>
              <w:bottom w:val="single" w:sz="18" w:space="0" w:color="FFFFFF"/>
              <w:right w:val="single" w:sz="18" w:space="0" w:color="FFFFFF"/>
            </w:tcBorders>
            <w:shd w:val="clear" w:color="auto" w:fill="D99594"/>
          </w:tcPr>
          <w:p w:rsidR="003F30AE" w:rsidRPr="0010229D" w:rsidRDefault="003F30AE" w:rsidP="003F30AE"/>
        </w:tc>
      </w:tr>
    </w:tbl>
    <w:p w:rsidR="003F30AE" w:rsidRPr="0010229D" w:rsidRDefault="003F30AE" w:rsidP="00FE5928">
      <w:pPr>
        <w:pStyle w:val="Heading3"/>
      </w:pPr>
      <w:bookmarkStart w:id="71" w:name="_Toc525759449"/>
      <w:bookmarkStart w:id="72" w:name="_Toc529199390"/>
      <w:bookmarkStart w:id="73" w:name="_Toc529997045"/>
      <w:bookmarkStart w:id="74" w:name="_Toc530910738"/>
      <w:r w:rsidRPr="008006E3">
        <w:lastRenderedPageBreak/>
        <w:t>Commitment Aim:</w:t>
      </w:r>
      <w:bookmarkEnd w:id="71"/>
      <w:bookmarkEnd w:id="72"/>
      <w:bookmarkEnd w:id="73"/>
      <w:bookmarkEnd w:id="74"/>
    </w:p>
    <w:p w:rsidR="003F30AE" w:rsidRDefault="003F30AE" w:rsidP="003F30AE">
      <w:pPr>
        <w:shd w:val="clear" w:color="auto" w:fill="FFFFFF" w:themeFill="background1"/>
        <w:spacing w:after="120"/>
        <w:rPr>
          <w:szCs w:val="22"/>
        </w:rPr>
      </w:pPr>
      <w:bookmarkStart w:id="75" w:name="_Toc525759450"/>
      <w:r>
        <w:rPr>
          <w:szCs w:val="22"/>
        </w:rPr>
        <w:t>As of March 2016, the Prosecutor’s Office of Georgia (hereinafter, Prosecutor’s Office or POG) started a project “Local Council”. The aim of the project is to provide a platform for stakeholders to discuss the criminal landscape and coordinate crime prevention activities in the regions of Georgia, as well as to increase public awareness on law, and develop trust towards the Prosecutor’s Office</w:t>
      </w:r>
      <w:r>
        <w:rPr>
          <w:rStyle w:val="EndnoteReference"/>
          <w:szCs w:val="22"/>
        </w:rPr>
        <w:endnoteReference w:id="84"/>
      </w:r>
      <w:r>
        <w:rPr>
          <w:rStyle w:val="EndnoteReference"/>
          <w:szCs w:val="22"/>
        </w:rPr>
        <w:endnoteReference w:id="85"/>
      </w:r>
      <w:r>
        <w:rPr>
          <w:szCs w:val="22"/>
        </w:rPr>
        <w:t>. According to the National Action Plan (NAP) 2016-2018, there was risk of different government agencies duplicating crime prevention activities, therefore, the project aimed to reduce the possibility of various agencies taking identical measures by increasing coordination through the local council meetings. The initial goal of the Prosecutor’s Office within NAP was to establish local councils in at least 6 regions of Georgia and conduct at least 10 meetings by the end of 2017.</w:t>
      </w:r>
    </w:p>
    <w:p w:rsidR="003F30AE" w:rsidRPr="00B615D5" w:rsidRDefault="003F30AE" w:rsidP="003F30AE">
      <w:pPr>
        <w:shd w:val="clear" w:color="auto" w:fill="FFFFFF" w:themeFill="background1"/>
        <w:spacing w:after="120"/>
        <w:rPr>
          <w:szCs w:val="22"/>
        </w:rPr>
      </w:pPr>
    </w:p>
    <w:p w:rsidR="003F30AE" w:rsidRPr="00366FA4" w:rsidRDefault="003F30AE" w:rsidP="00FE5928">
      <w:pPr>
        <w:pStyle w:val="Heading3"/>
      </w:pPr>
      <w:bookmarkStart w:id="76" w:name="_Toc529199391"/>
      <w:bookmarkStart w:id="77" w:name="_Toc529997046"/>
      <w:bookmarkStart w:id="78" w:name="_Toc530910739"/>
      <w:r w:rsidRPr="00366FA4">
        <w:t>Status</w:t>
      </w:r>
      <w:bookmarkEnd w:id="75"/>
      <w:bookmarkEnd w:id="76"/>
      <w:bookmarkEnd w:id="77"/>
      <w:bookmarkEnd w:id="78"/>
    </w:p>
    <w:p w:rsidR="003F30AE" w:rsidRPr="004B1C12" w:rsidRDefault="003F30AE" w:rsidP="003F30AE">
      <w:pPr>
        <w:pStyle w:val="Normalrglronly"/>
        <w:rPr>
          <w:b/>
        </w:rPr>
      </w:pPr>
      <w:r w:rsidRPr="00A60244">
        <w:rPr>
          <w:b/>
        </w:rPr>
        <w:t xml:space="preserve">Midterm: </w:t>
      </w:r>
      <w:r w:rsidRPr="00A60244">
        <w:rPr>
          <w:b/>
          <w:color w:val="000000" w:themeColor="text1"/>
        </w:rPr>
        <w:t>Complete</w:t>
      </w:r>
    </w:p>
    <w:p w:rsidR="003F30AE" w:rsidRDefault="003F30AE" w:rsidP="003F30AE">
      <w:pPr>
        <w:pStyle w:val="Normalrglronly"/>
        <w:shd w:val="clear" w:color="auto" w:fill="FFFFFF" w:themeFill="background1"/>
      </w:pPr>
      <w:r>
        <w:t>The commitment was fully implemented on time. By the midterm, the Prosecutor’s Office set up 12 crime prevention councils across the country, including in Zugdidi, Ozurgeti, Akhaltsikhe, Rustavi, Marneuli, Bolnisi, Khelvachauri, and Telavi. At least one meeting per council was held. The events were publicized in the local media, including television channels and newspapers. By the midterm, a few projects proposed during the council meetings were implemented, including advocacy campaign promoting road safety</w:t>
      </w:r>
      <w:r w:rsidR="00A92BB9">
        <w:t xml:space="preserve"> </w:t>
      </w:r>
      <w:r>
        <w:t>and campaign against domestic violence</w:t>
      </w:r>
      <w:r>
        <w:rPr>
          <w:rStyle w:val="EndnoteReference"/>
          <w:color w:val="auto"/>
        </w:rPr>
        <w:endnoteReference w:id="86"/>
      </w:r>
      <w:r>
        <w:t>.</w:t>
      </w:r>
    </w:p>
    <w:p w:rsidR="003F30AE" w:rsidRPr="004B1C12" w:rsidRDefault="003F30AE" w:rsidP="003F30AE">
      <w:pPr>
        <w:pStyle w:val="Normalrglronly"/>
        <w:rPr>
          <w:i/>
          <w:color w:val="4F81BD" w:themeColor="accent1"/>
        </w:rPr>
      </w:pPr>
    </w:p>
    <w:p w:rsidR="003F30AE" w:rsidRPr="004B1C12" w:rsidRDefault="003F30AE" w:rsidP="003F30AE">
      <w:pPr>
        <w:pStyle w:val="Normalrglronly"/>
        <w:rPr>
          <w:b/>
          <w:color w:val="000000" w:themeColor="text1"/>
        </w:rPr>
      </w:pPr>
      <w:r w:rsidRPr="00A60244">
        <w:rPr>
          <w:b/>
        </w:rPr>
        <w:t xml:space="preserve">End of term: </w:t>
      </w:r>
      <w:r w:rsidRPr="00A60244">
        <w:rPr>
          <w:b/>
          <w:color w:val="000000" w:themeColor="text1"/>
        </w:rPr>
        <w:t>Complete</w:t>
      </w:r>
    </w:p>
    <w:p w:rsidR="003F30AE" w:rsidRDefault="003F30AE" w:rsidP="003F30AE">
      <w:pPr>
        <w:rPr>
          <w:color w:val="auto"/>
        </w:rPr>
      </w:pPr>
      <w:r>
        <w:rPr>
          <w:color w:val="auto"/>
        </w:rPr>
        <w:t xml:space="preserve">The commitment can be assessed as complete, considering the fact that the lead agency established 22 councils and organized overall 36 meetings in past two years. Since the midterm assessment in August 2017, the Prosecutor’s Office conducted 22 meetings, including in </w:t>
      </w:r>
      <w:r w:rsidRPr="000E29EC">
        <w:rPr>
          <w:color w:val="auto"/>
        </w:rPr>
        <w:t>districts of the c</w:t>
      </w:r>
      <w:r>
        <w:rPr>
          <w:color w:val="auto"/>
        </w:rPr>
        <w:t>apital – Tbilisi, as well as the regions of Georgia</w:t>
      </w:r>
      <w:r>
        <w:rPr>
          <w:rStyle w:val="EndnoteReference"/>
          <w:color w:val="auto"/>
        </w:rPr>
        <w:endnoteReference w:id="87"/>
      </w:r>
      <w:r>
        <w:rPr>
          <w:rStyle w:val="EndnoteReference"/>
          <w:color w:val="auto"/>
        </w:rPr>
        <w:endnoteReference w:id="88"/>
      </w:r>
      <w:r>
        <w:rPr>
          <w:color w:val="auto"/>
        </w:rPr>
        <w:t>. The meetings were organized for the first time in Tbilisi and Sighnaghi, while 16 local councils met for the second time within the frames of the NAP 2016-2018. During the meetings in Tbilisi, the participants discussed measures to prevent drug crimes, while domestic violence was an important topic for discussion on meetings in the regions.</w:t>
      </w:r>
    </w:p>
    <w:p w:rsidR="003F30AE" w:rsidRDefault="003F30AE" w:rsidP="003F30AE">
      <w:pPr>
        <w:pStyle w:val="Normalrglronly"/>
        <w:rPr>
          <w:color w:val="auto"/>
        </w:rPr>
      </w:pPr>
    </w:p>
    <w:p w:rsidR="003F30AE" w:rsidRDefault="003F30AE" w:rsidP="00FE5928">
      <w:pPr>
        <w:pStyle w:val="Heading3"/>
      </w:pPr>
      <w:bookmarkStart w:id="79" w:name="_Toc525759451"/>
      <w:bookmarkStart w:id="80" w:name="_Toc529199392"/>
      <w:bookmarkStart w:id="81" w:name="_Toc529997047"/>
      <w:bookmarkStart w:id="82" w:name="_Toc530910740"/>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79"/>
      <w:bookmarkEnd w:id="80"/>
      <w:bookmarkEnd w:id="81"/>
      <w:bookmarkEnd w:id="82"/>
    </w:p>
    <w:p w:rsidR="003F30AE" w:rsidRPr="00C97079" w:rsidRDefault="003F30AE" w:rsidP="003F30AE"/>
    <w:p w:rsidR="003F30AE" w:rsidRPr="00BF5D6A" w:rsidRDefault="003F30AE" w:rsidP="003F30AE">
      <w:pPr>
        <w:rPr>
          <w:b/>
          <w:color w:val="000000" w:themeColor="text1"/>
        </w:rPr>
      </w:pPr>
      <w:r w:rsidRPr="00BF5D6A">
        <w:rPr>
          <w:b/>
          <w:color w:val="000000" w:themeColor="text1"/>
        </w:rPr>
        <w:t xml:space="preserve">Access to Information: </w:t>
      </w:r>
      <w:r>
        <w:rPr>
          <w:b/>
          <w:color w:val="000000" w:themeColor="text1"/>
        </w:rPr>
        <w:t>Marginal</w:t>
      </w:r>
    </w:p>
    <w:p w:rsidR="003F30AE" w:rsidRPr="004B1C12" w:rsidRDefault="003F30AE" w:rsidP="003F30AE">
      <w:pPr>
        <w:rPr>
          <w:b/>
          <w:color w:val="000000" w:themeColor="text1"/>
        </w:rPr>
      </w:pPr>
      <w:r w:rsidRPr="00BF5D6A">
        <w:rPr>
          <w:b/>
          <w:color w:val="000000" w:themeColor="text1"/>
        </w:rPr>
        <w:t xml:space="preserve">Civic Participation: </w:t>
      </w:r>
      <w:r>
        <w:rPr>
          <w:b/>
          <w:color w:val="000000" w:themeColor="text1"/>
        </w:rPr>
        <w:t>Marginal</w:t>
      </w:r>
    </w:p>
    <w:p w:rsidR="003F30AE" w:rsidRPr="004B1C12" w:rsidRDefault="003F30AE" w:rsidP="003F30AE"/>
    <w:p w:rsidR="003F30AE" w:rsidRDefault="003F30AE" w:rsidP="003F30AE">
      <w:pPr>
        <w:rPr>
          <w:color w:val="auto"/>
        </w:rPr>
      </w:pPr>
      <w:r>
        <w:rPr>
          <w:color w:val="auto"/>
        </w:rPr>
        <w:t>The local councils provided a platform for information-sharing about the crime prevalence and relevant statistics in their respective locations</w:t>
      </w:r>
      <w:r w:rsidR="005505F6">
        <w:rPr>
          <w:color w:val="auto"/>
        </w:rPr>
        <w:t>, as well as</w:t>
      </w:r>
      <w:r>
        <w:rPr>
          <w:color w:val="auto"/>
        </w:rPr>
        <w:t xml:space="preserve"> about studies published by the Prosecutor’s Office. It also allows </w:t>
      </w:r>
      <w:r w:rsidR="00B63AAD">
        <w:rPr>
          <w:color w:val="auto"/>
        </w:rPr>
        <w:t>CSOs and the population</w:t>
      </w:r>
      <w:r>
        <w:rPr>
          <w:color w:val="auto"/>
        </w:rPr>
        <w:t xml:space="preserve"> to voice their concerns and discuss pressing issues, such as domestic violence in Kvemo Kartli for instance</w:t>
      </w:r>
      <w:r w:rsidR="00B63AAD">
        <w:rPr>
          <w:color w:val="auto"/>
        </w:rPr>
        <w:t>.</w:t>
      </w:r>
      <w:r>
        <w:rPr>
          <w:rStyle w:val="EndnoteReference"/>
          <w:color w:val="auto"/>
        </w:rPr>
        <w:endnoteReference w:id="89"/>
      </w:r>
      <w:r>
        <w:rPr>
          <w:color w:val="auto"/>
        </w:rPr>
        <w:t xml:space="preserve"> During the meetings, local state authorities and representatives of CSOs were able to plan the activities on the matters of domestic violence and violence against </w:t>
      </w:r>
      <w:r>
        <w:rPr>
          <w:color w:val="auto"/>
        </w:rPr>
        <w:lastRenderedPageBreak/>
        <w:t>women in 8 cities of Telavi, Rustavi, Kutaisi, Gori, Zugdidi, Mtskheta, Samtredia and Kutaisi</w:t>
      </w:r>
      <w:r>
        <w:rPr>
          <w:rStyle w:val="EndnoteReference"/>
          <w:color w:val="auto"/>
        </w:rPr>
        <w:endnoteReference w:id="90"/>
      </w:r>
      <w:r>
        <w:rPr>
          <w:color w:val="auto"/>
        </w:rPr>
        <w:t>.</w:t>
      </w:r>
    </w:p>
    <w:p w:rsidR="003F30AE" w:rsidRDefault="003F30AE" w:rsidP="003F30AE">
      <w:pPr>
        <w:rPr>
          <w:color w:val="auto"/>
        </w:rPr>
      </w:pPr>
    </w:p>
    <w:p w:rsidR="003F30AE" w:rsidRDefault="00C356EF" w:rsidP="003F30AE">
      <w:pPr>
        <w:rPr>
          <w:color w:val="auto"/>
        </w:rPr>
      </w:pPr>
      <w:r>
        <w:rPr>
          <w:color w:val="auto"/>
        </w:rPr>
        <w:t xml:space="preserve">The meetings are </w:t>
      </w:r>
      <w:r w:rsidR="00B63AAD">
        <w:rPr>
          <w:color w:val="auto"/>
        </w:rPr>
        <w:t xml:space="preserve">usually </w:t>
      </w:r>
      <w:r>
        <w:rPr>
          <w:color w:val="auto"/>
        </w:rPr>
        <w:t xml:space="preserve">planned on a central level, where the Chief Prosecutor’s Office schedules and invites the participants to ensure monitoring and coordination. </w:t>
      </w:r>
      <w:r w:rsidR="003F30AE">
        <w:rPr>
          <w:color w:val="auto"/>
        </w:rPr>
        <w:t xml:space="preserve">The Prosecutor’s Office provides suggestions and advises on topics to be discussed at the local council meetings in </w:t>
      </w:r>
      <w:r w:rsidR="003F30AE" w:rsidRPr="001A4848">
        <w:rPr>
          <w:color w:val="auto"/>
        </w:rPr>
        <w:t>the regions</w:t>
      </w:r>
      <w:r w:rsidR="003F30AE">
        <w:rPr>
          <w:color w:val="auto"/>
        </w:rPr>
        <w:t xml:space="preserve">, depending on the crime situation in respective geographical locations. </w:t>
      </w:r>
      <w:r w:rsidR="00866169">
        <w:rPr>
          <w:color w:val="auto"/>
        </w:rPr>
        <w:t>T</w:t>
      </w:r>
      <w:r w:rsidR="003F30AE" w:rsidRPr="001A4848">
        <w:rPr>
          <w:color w:val="auto"/>
        </w:rPr>
        <w:t>h</w:t>
      </w:r>
      <w:r w:rsidR="003F30AE">
        <w:rPr>
          <w:color w:val="auto"/>
        </w:rPr>
        <w:t>e councils allow “free space” at the end of</w:t>
      </w:r>
      <w:r w:rsidR="003F30AE" w:rsidRPr="001A4848">
        <w:rPr>
          <w:color w:val="auto"/>
        </w:rPr>
        <w:t xml:space="preserve"> the agenda, where participants are able to put forward issues of their </w:t>
      </w:r>
      <w:r w:rsidR="00917DD6">
        <w:rPr>
          <w:color w:val="auto"/>
        </w:rPr>
        <w:t>interest</w:t>
      </w:r>
      <w:r w:rsidR="003F30AE" w:rsidRPr="001A4848">
        <w:rPr>
          <w:color w:val="auto"/>
        </w:rPr>
        <w:t>.</w:t>
      </w:r>
      <w:r w:rsidR="003F30AE">
        <w:rPr>
          <w:color w:val="auto"/>
        </w:rPr>
        <w:t xml:space="preserve"> Thus, stakeholders </w:t>
      </w:r>
      <w:r w:rsidR="00EC7DF2">
        <w:rPr>
          <w:color w:val="auto"/>
        </w:rPr>
        <w:t xml:space="preserve">get </w:t>
      </w:r>
      <w:r w:rsidR="003F30AE">
        <w:rPr>
          <w:color w:val="auto"/>
        </w:rPr>
        <w:t>information</w:t>
      </w:r>
      <w:r w:rsidR="00763600">
        <w:rPr>
          <w:color w:val="auto"/>
        </w:rPr>
        <w:t xml:space="preserve"> regarding the </w:t>
      </w:r>
      <w:r w:rsidR="00B07268">
        <w:rPr>
          <w:color w:val="auto"/>
        </w:rPr>
        <w:t xml:space="preserve">crime </w:t>
      </w:r>
      <w:r w:rsidR="00C652B3">
        <w:rPr>
          <w:color w:val="auto"/>
        </w:rPr>
        <w:t>prevalence</w:t>
      </w:r>
      <w:r w:rsidR="005C4065">
        <w:rPr>
          <w:color w:val="auto"/>
        </w:rPr>
        <w:t xml:space="preserve"> and </w:t>
      </w:r>
      <w:r w:rsidR="008D60E0">
        <w:rPr>
          <w:color w:val="auto"/>
        </w:rPr>
        <w:t xml:space="preserve">discuss </w:t>
      </w:r>
      <w:r w:rsidR="005C4065">
        <w:rPr>
          <w:color w:val="auto"/>
        </w:rPr>
        <w:t xml:space="preserve">its possible solutions, </w:t>
      </w:r>
      <w:r w:rsidR="005C7519">
        <w:rPr>
          <w:color w:val="auto"/>
        </w:rPr>
        <w:t>but also</w:t>
      </w:r>
      <w:r w:rsidR="003F30AE">
        <w:rPr>
          <w:color w:val="auto"/>
        </w:rPr>
        <w:t xml:space="preserve"> provide inputs </w:t>
      </w:r>
      <w:r w:rsidR="00917DD6">
        <w:rPr>
          <w:color w:val="auto"/>
        </w:rPr>
        <w:t xml:space="preserve"> and engage in dialogue</w:t>
      </w:r>
      <w:r w:rsidR="003F30AE">
        <w:rPr>
          <w:color w:val="auto"/>
        </w:rPr>
        <w:t>.</w:t>
      </w:r>
      <w:r w:rsidR="003F30AE" w:rsidRPr="00BF5D6A">
        <w:rPr>
          <w:color w:val="auto"/>
        </w:rPr>
        <w:t xml:space="preserve"> </w:t>
      </w:r>
      <w:r w:rsidR="00B63AAD">
        <w:rPr>
          <w:color w:val="auto"/>
        </w:rPr>
        <w:t>Generally, r</w:t>
      </w:r>
      <w:r w:rsidR="008D60E0">
        <w:rPr>
          <w:color w:val="auto"/>
        </w:rPr>
        <w:t>ecords on crime prevalence</w:t>
      </w:r>
      <w:r w:rsidR="00680F6A" w:rsidRPr="00C652B3">
        <w:rPr>
          <w:color w:val="auto"/>
        </w:rPr>
        <w:t xml:space="preserve"> </w:t>
      </w:r>
      <w:r w:rsidR="008D60E0">
        <w:rPr>
          <w:color w:val="auto"/>
        </w:rPr>
        <w:t>is published</w:t>
      </w:r>
      <w:r w:rsidR="00866169">
        <w:rPr>
          <w:color w:val="auto"/>
        </w:rPr>
        <w:t xml:space="preserve"> by</w:t>
      </w:r>
      <w:r w:rsidR="008D60E0">
        <w:rPr>
          <w:color w:val="auto"/>
        </w:rPr>
        <w:t xml:space="preserve"> the Ministry of Internal Affairs of Georgia and </w:t>
      </w:r>
      <w:r w:rsidR="00680F6A" w:rsidRPr="00C652B3">
        <w:rPr>
          <w:color w:val="auto"/>
        </w:rPr>
        <w:t xml:space="preserve">are also publicly available through the National Statistics Office of Georgia (GeoStat) </w:t>
      </w:r>
      <w:r w:rsidR="005B58F0">
        <w:rPr>
          <w:color w:val="auto"/>
        </w:rPr>
        <w:t>web site</w:t>
      </w:r>
      <w:r w:rsidR="009806EC">
        <w:rPr>
          <w:color w:val="auto"/>
        </w:rPr>
        <w:t xml:space="preserve">, which </w:t>
      </w:r>
      <w:r w:rsidR="00377DBE">
        <w:rPr>
          <w:color w:val="auto"/>
        </w:rPr>
        <w:t>produces</w:t>
      </w:r>
      <w:r w:rsidR="009806EC">
        <w:rPr>
          <w:color w:val="auto"/>
        </w:rPr>
        <w:t xml:space="preserve"> monthly reports and </w:t>
      </w:r>
      <w:r w:rsidR="005B58F0">
        <w:rPr>
          <w:color w:val="auto"/>
        </w:rPr>
        <w:t xml:space="preserve">the </w:t>
      </w:r>
      <w:r w:rsidR="00B63AAD">
        <w:rPr>
          <w:color w:val="auto"/>
        </w:rPr>
        <w:t xml:space="preserve">criminal justice statistics </w:t>
      </w:r>
      <w:r w:rsidR="008D48B3">
        <w:rPr>
          <w:color w:val="auto"/>
        </w:rPr>
        <w:t>by regions</w:t>
      </w:r>
      <w:r w:rsidR="00DB145C">
        <w:rPr>
          <w:rStyle w:val="EndnoteReference"/>
          <w:color w:val="auto"/>
        </w:rPr>
        <w:endnoteReference w:id="91"/>
      </w:r>
      <w:r w:rsidR="009806EC">
        <w:rPr>
          <w:color w:val="auto"/>
        </w:rPr>
        <w:t>.</w:t>
      </w:r>
      <w:r w:rsidR="00537CB7">
        <w:rPr>
          <w:color w:val="auto"/>
        </w:rPr>
        <w:t xml:space="preserve"> </w:t>
      </w:r>
      <w:r w:rsidR="008D60E0">
        <w:rPr>
          <w:color w:val="auto"/>
        </w:rPr>
        <w:t xml:space="preserve">So, while the information was previously available </w:t>
      </w:r>
      <w:r w:rsidR="002F57E7">
        <w:rPr>
          <w:color w:val="auto"/>
        </w:rPr>
        <w:t>through the mentioned</w:t>
      </w:r>
      <w:r w:rsidR="008D60E0">
        <w:rPr>
          <w:color w:val="auto"/>
        </w:rPr>
        <w:t xml:space="preserve"> websites, the Local Councils diversified communication channels</w:t>
      </w:r>
      <w:r w:rsidR="0076168A">
        <w:rPr>
          <w:color w:val="auto"/>
        </w:rPr>
        <w:t xml:space="preserve"> and made the information more accessible</w:t>
      </w:r>
      <w:r w:rsidR="008D60E0">
        <w:rPr>
          <w:color w:val="auto"/>
        </w:rPr>
        <w:t>, especially in the regions, wh</w:t>
      </w:r>
      <w:r w:rsidR="002F57E7">
        <w:rPr>
          <w:color w:val="auto"/>
        </w:rPr>
        <w:t>ere the internet prevalence</w:t>
      </w:r>
      <w:r w:rsidR="008D60E0">
        <w:rPr>
          <w:color w:val="auto"/>
        </w:rPr>
        <w:t xml:space="preserve"> is not high. </w:t>
      </w:r>
      <w:r w:rsidR="003F30AE">
        <w:rPr>
          <w:color w:val="auto"/>
        </w:rPr>
        <w:t>All the councils send the meeting minutes to the Prosecutor’s Office, which collects, analyzes and publishes relevant information in the “Report of the Chief Prosecutor of Georgia”. There also exists an annual report on the works of the Local Councils, however, the document is not publicly available and despite number of requests to the representative of the Prosecutor’s Office, the IRM researcher could not get the document.</w:t>
      </w:r>
    </w:p>
    <w:p w:rsidR="003F30AE" w:rsidRDefault="003F30AE" w:rsidP="003F30AE">
      <w:pPr>
        <w:rPr>
          <w:color w:val="auto"/>
        </w:rPr>
      </w:pPr>
    </w:p>
    <w:p w:rsidR="003F30AE" w:rsidRDefault="003F30AE" w:rsidP="003F30AE">
      <w:pPr>
        <w:pStyle w:val="Normalrglronly"/>
        <w:rPr>
          <w:rFonts w:eastAsiaTheme="minorHAnsi"/>
          <w:lang w:val="en-GB"/>
        </w:rPr>
      </w:pPr>
      <w:r>
        <w:rPr>
          <w:rFonts w:eastAsiaTheme="minorHAnsi"/>
          <w:lang w:val="en-GB"/>
        </w:rPr>
        <w:t xml:space="preserve">The Prosecutor’s Office developed a document regulating the Council’s functions, responsibilities and scope of activities, which </w:t>
      </w:r>
      <w:r w:rsidR="005D7657">
        <w:rPr>
          <w:rFonts w:eastAsiaTheme="minorHAnsi"/>
          <w:lang w:val="en-GB"/>
        </w:rPr>
        <w:t>was</w:t>
      </w:r>
      <w:r>
        <w:rPr>
          <w:rFonts w:eastAsiaTheme="minorHAnsi"/>
          <w:lang w:val="en-GB"/>
        </w:rPr>
        <w:t xml:space="preserve"> expected to be formalized by the end of 2018</w:t>
      </w:r>
      <w:r>
        <w:rPr>
          <w:rStyle w:val="EndnoteReference"/>
          <w:color w:val="auto"/>
        </w:rPr>
        <w:endnoteReference w:id="92"/>
      </w:r>
      <w:r>
        <w:rPr>
          <w:color w:val="auto"/>
        </w:rPr>
        <w:t>. The councils usually consist of permanent and non-permanent members, including local prosecutors, public defender, representatives of the law enforcement agencies, and relevant CSOs</w:t>
      </w:r>
      <w:r>
        <w:rPr>
          <w:rStyle w:val="EndnoteReference"/>
          <w:color w:val="auto"/>
        </w:rPr>
        <w:endnoteReference w:id="93"/>
      </w:r>
      <w:r>
        <w:rPr>
          <w:color w:val="auto"/>
        </w:rPr>
        <w:t xml:space="preserve">. </w:t>
      </w:r>
      <w:r w:rsidR="00D82938">
        <w:rPr>
          <w:color w:val="auto"/>
        </w:rPr>
        <w:t>In terms of civic engagement, p</w:t>
      </w:r>
      <w:r w:rsidR="00C356EF">
        <w:rPr>
          <w:color w:val="auto"/>
        </w:rPr>
        <w:t>rior to Local Councils</w:t>
      </w:r>
      <w:r w:rsidR="009E026D">
        <w:rPr>
          <w:color w:val="auto"/>
        </w:rPr>
        <w:t xml:space="preserve">, </w:t>
      </w:r>
      <w:r w:rsidR="005C7519">
        <w:rPr>
          <w:color w:val="auto"/>
        </w:rPr>
        <w:t>there was no formal mechanism</w:t>
      </w:r>
      <w:r w:rsidR="000E5F00">
        <w:rPr>
          <w:color w:val="auto"/>
        </w:rPr>
        <w:t>, which would regulate</w:t>
      </w:r>
      <w:r w:rsidR="005C7519">
        <w:rPr>
          <w:color w:val="auto"/>
        </w:rPr>
        <w:t xml:space="preserve"> CSOs and public to provide </w:t>
      </w:r>
      <w:r w:rsidR="000E5F00">
        <w:rPr>
          <w:color w:val="auto"/>
        </w:rPr>
        <w:t xml:space="preserve">recommendations and suggestions </w:t>
      </w:r>
      <w:r w:rsidR="00AD007A">
        <w:rPr>
          <w:color w:val="auto"/>
        </w:rPr>
        <w:t>to the local</w:t>
      </w:r>
      <w:r w:rsidR="00E74999">
        <w:rPr>
          <w:color w:val="auto"/>
        </w:rPr>
        <w:t xml:space="preserve"> </w:t>
      </w:r>
      <w:r w:rsidR="00AD007A">
        <w:rPr>
          <w:color w:val="auto"/>
        </w:rPr>
        <w:t xml:space="preserve">law enforcement agencies </w:t>
      </w:r>
      <w:r w:rsidR="00E74999">
        <w:rPr>
          <w:color w:val="auto"/>
        </w:rPr>
        <w:t>or the POG</w:t>
      </w:r>
      <w:r w:rsidR="000E5F00">
        <w:rPr>
          <w:color w:val="auto"/>
        </w:rPr>
        <w:t xml:space="preserve">. </w:t>
      </w:r>
      <w:r w:rsidR="00C356EF">
        <w:rPr>
          <w:color w:val="auto"/>
        </w:rPr>
        <w:t>The initiative</w:t>
      </w:r>
      <w:r w:rsidR="00683AA7">
        <w:rPr>
          <w:color w:val="auto"/>
        </w:rPr>
        <w:t xml:space="preserve"> create</w:t>
      </w:r>
      <w:r w:rsidR="00AD007A">
        <w:rPr>
          <w:color w:val="auto"/>
        </w:rPr>
        <w:t>d</w:t>
      </w:r>
      <w:r w:rsidR="00162122">
        <w:rPr>
          <w:color w:val="auto"/>
        </w:rPr>
        <w:t xml:space="preserve"> such a</w:t>
      </w:r>
      <w:r w:rsidR="00683AA7">
        <w:rPr>
          <w:color w:val="auto"/>
        </w:rPr>
        <w:t xml:space="preserve"> space </w:t>
      </w:r>
      <w:r w:rsidR="00162122">
        <w:rPr>
          <w:color w:val="auto"/>
        </w:rPr>
        <w:t xml:space="preserve">and formalized the process. </w:t>
      </w:r>
      <w:r>
        <w:rPr>
          <w:color w:val="auto"/>
        </w:rPr>
        <w:br/>
      </w:r>
      <w:r>
        <w:rPr>
          <w:color w:val="auto"/>
        </w:rPr>
        <w:br/>
      </w:r>
      <w:r w:rsidR="00CE58FB">
        <w:rPr>
          <w:rFonts w:eastAsiaTheme="minorHAnsi"/>
          <w:lang w:val="en-GB"/>
        </w:rPr>
        <w:t xml:space="preserve">As </w:t>
      </w:r>
      <w:r w:rsidR="00A063CA">
        <w:rPr>
          <w:rFonts w:eastAsiaTheme="minorHAnsi"/>
          <w:lang w:val="en-GB"/>
        </w:rPr>
        <w:t xml:space="preserve">the </w:t>
      </w:r>
      <w:r>
        <w:rPr>
          <w:rFonts w:eastAsiaTheme="minorHAnsi"/>
          <w:lang w:val="en-GB"/>
        </w:rPr>
        <w:t>POG representative</w:t>
      </w:r>
      <w:r w:rsidR="00A063CA">
        <w:rPr>
          <w:rFonts w:eastAsiaTheme="minorHAnsi"/>
          <w:lang w:val="en-GB"/>
        </w:rPr>
        <w:t xml:space="preserve"> stated</w:t>
      </w:r>
      <w:r>
        <w:rPr>
          <w:rFonts w:eastAsiaTheme="minorHAnsi"/>
          <w:lang w:val="en-GB"/>
        </w:rPr>
        <w:t>, as a result of the Local Council activities</w:t>
      </w:r>
      <w:r w:rsidRPr="00AA20C3">
        <w:rPr>
          <w:rFonts w:eastAsiaTheme="minorHAnsi"/>
          <w:lang w:val="en-GB"/>
        </w:rPr>
        <w:t>, the indicators for both the crime victim appeals and the criminal prosecution have increased</w:t>
      </w:r>
      <w:r>
        <w:rPr>
          <w:rFonts w:eastAsiaTheme="minorHAnsi"/>
          <w:lang w:val="en-GB"/>
        </w:rPr>
        <w:t xml:space="preserve"> in past years, however there is no verified evidence or studies about causality between the initiatives and increase in the mentioned data</w:t>
      </w:r>
      <w:r w:rsidRPr="00AA20C3">
        <w:rPr>
          <w:rStyle w:val="EndnoteReference"/>
          <w:rFonts w:eastAsiaTheme="minorHAnsi"/>
          <w:lang w:val="en-GB"/>
        </w:rPr>
        <w:endnoteReference w:id="94"/>
      </w:r>
      <w:r w:rsidRPr="00AA20C3">
        <w:rPr>
          <w:rFonts w:eastAsiaTheme="minorHAnsi"/>
          <w:lang w:val="en-GB"/>
        </w:rPr>
        <w:t>.</w:t>
      </w:r>
      <w:r>
        <w:rPr>
          <w:rFonts w:eastAsiaTheme="minorHAnsi"/>
          <w:lang w:val="en-GB"/>
        </w:rPr>
        <w:t xml:space="preserve"> </w:t>
      </w:r>
    </w:p>
    <w:p w:rsidR="003F30AE" w:rsidRDefault="003F30AE" w:rsidP="003F30AE">
      <w:pPr>
        <w:pStyle w:val="Normalrglronly"/>
        <w:rPr>
          <w:color w:val="auto"/>
        </w:rPr>
      </w:pPr>
      <w:r>
        <w:rPr>
          <w:rFonts w:eastAsiaTheme="minorHAnsi"/>
          <w:lang w:val="en-GB"/>
        </w:rPr>
        <w:t>On the other hand, the civil society representative noted the lack of communication and low public awareness of the Local Councils</w:t>
      </w:r>
      <w:r>
        <w:rPr>
          <w:rStyle w:val="EndnoteReference"/>
          <w:rFonts w:eastAsiaTheme="minorHAnsi"/>
          <w:lang w:val="en-GB"/>
        </w:rPr>
        <w:endnoteReference w:id="95"/>
      </w:r>
      <w:r>
        <w:rPr>
          <w:rFonts w:eastAsiaTheme="minorHAnsi"/>
          <w:lang w:val="en-GB"/>
        </w:rPr>
        <w:t xml:space="preserve">. </w:t>
      </w:r>
      <w:r>
        <w:rPr>
          <w:color w:val="auto"/>
        </w:rPr>
        <w:t>The representative of Transparency International (TI) Georgia mentioned discussing the local criminal landscape and the preventative measures, as well as plans for future cooperation at two council meetings in Batumi, however they did not result in concrete joint initiatives</w:t>
      </w:r>
      <w:r>
        <w:rPr>
          <w:rStyle w:val="EndnoteReference"/>
          <w:color w:val="auto"/>
        </w:rPr>
        <w:endnoteReference w:id="96"/>
      </w:r>
      <w:r>
        <w:rPr>
          <w:color w:val="auto"/>
        </w:rPr>
        <w:t>.</w:t>
      </w:r>
    </w:p>
    <w:p w:rsidR="003F30AE" w:rsidRPr="00594371" w:rsidRDefault="003F30AE" w:rsidP="003F30AE">
      <w:pPr>
        <w:rPr>
          <w:rFonts w:eastAsiaTheme="minorHAnsi"/>
          <w:lang w:val="en-GB"/>
        </w:rPr>
      </w:pPr>
      <w:r>
        <w:rPr>
          <w:rFonts w:eastAsiaTheme="minorHAnsi"/>
          <w:lang w:val="en-GB"/>
        </w:rPr>
        <w:t>The focus group participants in three municipalities, namely Akhlatsikhe, Ozurgeti and Zugdidi were unaware of the council activities</w:t>
      </w:r>
      <w:r>
        <w:rPr>
          <w:rStyle w:val="EndnoteReference"/>
          <w:rFonts w:eastAsiaTheme="minorHAnsi"/>
          <w:lang w:val="en-GB"/>
        </w:rPr>
        <w:endnoteReference w:id="97"/>
      </w:r>
      <w:r>
        <w:rPr>
          <w:rFonts w:eastAsiaTheme="minorHAnsi"/>
          <w:lang w:val="en-GB"/>
        </w:rPr>
        <w:t xml:space="preserve">, which gives a reason to consider expanding the scope of the outreach for public and CSOs. </w:t>
      </w:r>
      <w:r>
        <w:rPr>
          <w:color w:val="auto"/>
        </w:rPr>
        <w:t>The local media covered</w:t>
      </w:r>
      <w:r w:rsidRPr="006B63A5">
        <w:rPr>
          <w:color w:val="auto"/>
        </w:rPr>
        <w:t xml:space="preserve"> the meetings</w:t>
      </w:r>
      <w:r>
        <w:rPr>
          <w:color w:val="auto"/>
        </w:rPr>
        <w:t xml:space="preserve">, however media coverage and TV appearances can be insufficient for the visibility. In the majority of the reported meetings, the participants included </w:t>
      </w:r>
      <w:r>
        <w:rPr>
          <w:color w:val="auto"/>
        </w:rPr>
        <w:lastRenderedPageBreak/>
        <w:t>representatives from state and non-governmental sectors, however citizen participation was limited</w:t>
      </w:r>
      <w:r>
        <w:rPr>
          <w:rStyle w:val="EndnoteReference"/>
          <w:color w:val="auto"/>
        </w:rPr>
        <w:endnoteReference w:id="98"/>
      </w:r>
      <w:r>
        <w:rPr>
          <w:rStyle w:val="EndnoteReference"/>
          <w:color w:val="auto"/>
        </w:rPr>
        <w:endnoteReference w:id="99"/>
      </w:r>
      <w:r>
        <w:rPr>
          <w:rStyle w:val="EndnoteReference"/>
          <w:color w:val="auto"/>
        </w:rPr>
        <w:endnoteReference w:id="100"/>
      </w:r>
      <w:r>
        <w:rPr>
          <w:color w:val="auto"/>
        </w:rPr>
        <w:t>.</w:t>
      </w:r>
    </w:p>
    <w:p w:rsidR="003F30AE" w:rsidRDefault="003F30AE" w:rsidP="003F30AE">
      <w:pPr>
        <w:rPr>
          <w:rFonts w:eastAsiaTheme="minorHAnsi"/>
          <w:lang w:val="en-GB"/>
        </w:rPr>
      </w:pPr>
    </w:p>
    <w:p w:rsidR="003F30AE" w:rsidRDefault="003F30AE" w:rsidP="00FE5928">
      <w:pPr>
        <w:pStyle w:val="Heading3"/>
      </w:pPr>
      <w:bookmarkStart w:id="83" w:name="_Toc525759452"/>
      <w:bookmarkStart w:id="84" w:name="_Toc529199393"/>
      <w:bookmarkStart w:id="85" w:name="_Toc529997048"/>
      <w:bookmarkStart w:id="86" w:name="_Toc530910741"/>
      <w:r w:rsidRPr="0010229D">
        <w:t xml:space="preserve">Carried </w:t>
      </w:r>
      <w:r w:rsidRPr="004B1C12">
        <w:t>F</w:t>
      </w:r>
      <w:r w:rsidRPr="0010229D">
        <w:t>orward?</w:t>
      </w:r>
      <w:bookmarkEnd w:id="83"/>
      <w:bookmarkEnd w:id="84"/>
      <w:bookmarkEnd w:id="85"/>
      <w:bookmarkEnd w:id="86"/>
    </w:p>
    <w:p w:rsidR="003F30AE" w:rsidRDefault="003F30AE" w:rsidP="003F30AE"/>
    <w:p w:rsidR="003F30AE" w:rsidRDefault="003F30AE" w:rsidP="009B1585">
      <w:pPr>
        <w:pStyle w:val="Normalrglronly"/>
        <w:sectPr w:rsidR="003F30AE" w:rsidSect="003F30AE">
          <w:footerReference w:type="even" r:id="rId23"/>
          <w:footerReference w:type="default" r:id="rId24"/>
          <w:endnotePr>
            <w:numFmt w:val="decimal"/>
            <w:numRestart w:val="eachSect"/>
          </w:endnotePr>
          <w:pgSz w:w="11900" w:h="16840"/>
          <w:pgMar w:top="1440" w:right="1800" w:bottom="1440" w:left="1800" w:header="708" w:footer="708" w:gutter="0"/>
          <w:cols w:space="708"/>
          <w:docGrid w:linePitch="360"/>
        </w:sectPr>
      </w:pPr>
      <w:r>
        <w:rPr>
          <w:color w:val="auto"/>
        </w:rPr>
        <w:t xml:space="preserve">The commitment was not carried forward into the new Action Plan 2018-2019. Nevertheless, the </w:t>
      </w:r>
      <w:r w:rsidRPr="005729B6">
        <w:rPr>
          <w:color w:val="auto"/>
        </w:rPr>
        <w:t>Strategy of the Prosecutor of Georgia 2017-2021</w:t>
      </w:r>
      <w:r>
        <w:rPr>
          <w:color w:val="auto"/>
        </w:rPr>
        <w:t xml:space="preserve"> involves expansion of local councils in the regions of Georgia.</w:t>
      </w:r>
      <w:r w:rsidRPr="005729B6">
        <w:rPr>
          <w:color w:val="auto"/>
          <w:vertAlign w:val="superscript"/>
        </w:rPr>
        <w:endnoteReference w:id="101"/>
      </w:r>
      <w:r>
        <w:rPr>
          <w:color w:val="auto"/>
        </w:rPr>
        <w:t xml:space="preserve"> For the sustainability of the initiative, IRM midterm report recommended that the Prosecutor’s Office</w:t>
      </w:r>
      <w:r w:rsidR="00403F5E">
        <w:rPr>
          <w:color w:val="auto"/>
        </w:rPr>
        <w:t xml:space="preserve"> </w:t>
      </w:r>
      <w:r w:rsidR="00403F5E">
        <w:t>d</w:t>
      </w:r>
      <w:r>
        <w:t>evelops and adopts formal rules for participation, ensures regularity of meetings, and adopts a standard procedure of council meetings</w:t>
      </w:r>
      <w:r w:rsidR="00403F5E">
        <w:t xml:space="preserve">. It would also be beneficial to publish </w:t>
      </w:r>
      <w:r>
        <w:t>meeting minutes</w:t>
      </w:r>
      <w:r w:rsidR="00403F5E">
        <w:t xml:space="preserve"> and e</w:t>
      </w:r>
      <w:r>
        <w:t>ncourage inter-municipality information exchange among permanent members of the councils to improve functioning of the</w:t>
      </w:r>
      <w:r w:rsidR="00A45129">
        <w:t xml:space="preserve"> councils</w:t>
      </w:r>
      <w:r w:rsidR="00403F5E">
        <w:t xml:space="preserve">. </w:t>
      </w:r>
    </w:p>
    <w:p w:rsidR="00617421" w:rsidRDefault="00617421" w:rsidP="00C82219">
      <w:pPr>
        <w:pStyle w:val="Heading2"/>
      </w:pPr>
      <w:bookmarkStart w:id="87" w:name="_Toc409220391"/>
      <w:r w:rsidRPr="001821B2">
        <w:lastRenderedPageBreak/>
        <w:t>19. Development of a guidebook for economic agents</w:t>
      </w:r>
      <w:bookmarkEnd w:id="87"/>
      <w:r w:rsidRPr="001821B2">
        <w:t xml:space="preserve"> </w:t>
      </w:r>
    </w:p>
    <w:p w:rsidR="00617421" w:rsidRDefault="00617421" w:rsidP="00821026">
      <w:pPr>
        <w:pStyle w:val="Normalrglronly"/>
        <w:rPr>
          <w:b/>
        </w:rPr>
      </w:pPr>
      <w:r w:rsidRPr="004B1C12">
        <w:rPr>
          <w:b/>
        </w:rPr>
        <w:t>Commitment Text:</w:t>
      </w:r>
    </w:p>
    <w:p w:rsidR="00617421" w:rsidRDefault="00617421" w:rsidP="00821026">
      <w:pPr>
        <w:pStyle w:val="APQuotefeaturetol"/>
      </w:pPr>
      <w:r>
        <w:t>Economic agents who apply only the Law on Competition and the normative acts based on it do not have relevant information about the application of legislation on competition. In addition, the society does not have sufficient information on the newly established Competition Agency.</w:t>
      </w:r>
    </w:p>
    <w:p w:rsidR="00617421" w:rsidRDefault="00617421" w:rsidP="00821026">
      <w:pPr>
        <w:pStyle w:val="APQuotefeaturetol"/>
      </w:pPr>
      <w:r>
        <w:t>The communication between the control organ and relevant business entity is necessary so that an economic agent can be informed on their commitments derived from the Law on Competition. As a result, the work of the agency will become more efficient, and entities on their part, will take relevant measures to minimize activities interfering the free competitive market.</w:t>
      </w:r>
    </w:p>
    <w:p w:rsidR="00617421" w:rsidRDefault="00617421" w:rsidP="00821026">
      <w:pPr>
        <w:pStyle w:val="APQuotefeaturetol"/>
      </w:pPr>
      <w:r>
        <w:t>The commitment serves to improve transparency and accountability principles of the public administration. The Competition Agency will develop a guidebook/brochure, the main topic of which will be problematic and urgent issues of the Law on Competition and key action principles of the agency. The guidebook will be distributed both in a print version and electronically to inform businesses and society about the competition matters.</w:t>
      </w:r>
    </w:p>
    <w:p w:rsidR="00617421" w:rsidRDefault="00617421" w:rsidP="00821026"/>
    <w:p w:rsidR="00617421" w:rsidRPr="00FF1DAE" w:rsidRDefault="00617421" w:rsidP="00821026">
      <w:pPr>
        <w:pStyle w:val="Normalrglronly"/>
      </w:pPr>
      <w:r w:rsidRPr="00FF1DAE">
        <w:t xml:space="preserve">Responsible institution: </w:t>
      </w:r>
      <w:r w:rsidRPr="00FF1DAE">
        <w:rPr>
          <w:noProof/>
        </w:rPr>
        <w:t>LEPL – Competition Agency</w:t>
      </w:r>
    </w:p>
    <w:p w:rsidR="00617421" w:rsidRPr="00FF1DAE" w:rsidRDefault="00617421" w:rsidP="00821026">
      <w:pPr>
        <w:pStyle w:val="Normalrglronly"/>
      </w:pPr>
      <w:r w:rsidRPr="00FF1DAE">
        <w:t xml:space="preserve">Supporting institution(s): </w:t>
      </w:r>
      <w:r w:rsidRPr="00FF1DAE">
        <w:rPr>
          <w:noProof/>
        </w:rPr>
        <w:t>None</w:t>
      </w:r>
    </w:p>
    <w:p w:rsidR="00617421" w:rsidRDefault="00617421" w:rsidP="00821026">
      <w:pPr>
        <w:spacing w:after="120"/>
        <w:rPr>
          <w:szCs w:val="22"/>
        </w:rPr>
      </w:pPr>
      <w:r w:rsidRPr="00FF1DAE">
        <w:rPr>
          <w:szCs w:val="22"/>
        </w:rPr>
        <w:t>Start date: September 2016      End date: December 2017</w:t>
      </w:r>
    </w:p>
    <w:p w:rsidR="00617421" w:rsidRDefault="00617421" w:rsidP="00821026">
      <w:pPr>
        <w:spacing w:after="120"/>
        <w:rPr>
          <w:szCs w:val="22"/>
        </w:rPr>
      </w:pPr>
    </w:p>
    <w:p w:rsidR="00617421" w:rsidRDefault="00617421" w:rsidP="00821026">
      <w:pPr>
        <w:spacing w:after="120"/>
        <w:rPr>
          <w:szCs w:val="22"/>
        </w:rPr>
      </w:pPr>
    </w:p>
    <w:tbl>
      <w:tblPr>
        <w:tblW w:w="10971"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617421" w:rsidRPr="006E7C15"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6E7C15" w:rsidRDefault="00617421" w:rsidP="004A7735">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6E7C15" w:rsidRDefault="00617421" w:rsidP="004A7735">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rsidR="00617421" w:rsidRPr="006E7C15" w:rsidRDefault="00617421" w:rsidP="004A7735">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6E7C15" w:rsidRDefault="00617421" w:rsidP="004A7735">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6E7C15" w:rsidRDefault="00617421" w:rsidP="004A7735">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6E7C15" w:rsidRDefault="00617421" w:rsidP="004A7735">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6E7C15" w:rsidRDefault="00617421" w:rsidP="004A7735">
            <w:r w:rsidRPr="006E7C15">
              <w:t>Did It Open Government?</w:t>
            </w:r>
          </w:p>
        </w:tc>
      </w:tr>
      <w:tr w:rsidR="00617421" w:rsidRPr="006E7C15" w:rsidTr="00E60731">
        <w:trPr>
          <w:trHeight w:val="373"/>
        </w:trPr>
        <w:tc>
          <w:tcPr>
            <w:tcW w:w="1596" w:type="dxa"/>
            <w:vMerge/>
            <w:tcBorders>
              <w:left w:val="single" w:sz="4" w:space="0" w:color="FFFFFF"/>
              <w:right w:val="single" w:sz="18" w:space="0" w:color="FFFFFF"/>
            </w:tcBorders>
            <w:shd w:val="clear" w:color="auto" w:fill="000000"/>
            <w:vAlign w:val="center"/>
          </w:tcPr>
          <w:p w:rsidR="00617421" w:rsidRPr="006E7C15" w:rsidRDefault="00617421" w:rsidP="004A7735">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6E7C15" w:rsidRDefault="00617421" w:rsidP="004A7735"/>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rsidR="00617421" w:rsidRPr="006E7C15" w:rsidRDefault="00617421" w:rsidP="004A7735"/>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6E7C15" w:rsidRDefault="00617421" w:rsidP="004A7735"/>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6E7C15" w:rsidRDefault="00617421" w:rsidP="004A7735"/>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6E7C15" w:rsidRDefault="00617421" w:rsidP="004A7735">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6E7C15" w:rsidRDefault="00617421" w:rsidP="004A7735"/>
        </w:tc>
      </w:tr>
      <w:tr w:rsidR="00617421" w:rsidRPr="006E7C15"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6E7C15" w:rsidRDefault="00617421" w:rsidP="004A7735">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6E7C15" w:rsidRDefault="00617421" w:rsidP="004A7735">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4A7735">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4A7735">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6E7C15" w:rsidRDefault="00617421" w:rsidP="004A7735">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4A7735">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4A7735">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4A7735">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6E7C15" w:rsidRDefault="00617421" w:rsidP="004A7735">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6E7C15" w:rsidRDefault="00617421" w:rsidP="004A7735">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4A7735">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4A7735">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6E7C15" w:rsidRDefault="00617421" w:rsidP="004A7735">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6E7C15" w:rsidRDefault="00617421" w:rsidP="004A7735">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4A7735">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4A7735">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6E7C15" w:rsidRDefault="00617421" w:rsidP="004A7735">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6E7C15" w:rsidRDefault="00617421" w:rsidP="004A7735">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4A7735">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4A7735">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4A7735">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6E7C15" w:rsidRDefault="00617421" w:rsidP="004A7735">
            <w:r w:rsidRPr="006E7C15">
              <w:t>Outstanding</w:t>
            </w:r>
          </w:p>
        </w:tc>
      </w:tr>
      <w:tr w:rsidR="00617421" w:rsidRPr="006E7C15" w:rsidTr="00E60731">
        <w:trPr>
          <w:trHeight w:val="733"/>
        </w:trPr>
        <w:tc>
          <w:tcPr>
            <w:tcW w:w="1596" w:type="dxa"/>
            <w:vMerge w:val="restart"/>
            <w:tcBorders>
              <w:top w:val="single" w:sz="18" w:space="0" w:color="FFFFFF"/>
              <w:left w:val="single" w:sz="4" w:space="0" w:color="FFFFFF"/>
            </w:tcBorders>
            <w:shd w:val="clear" w:color="auto" w:fill="000000"/>
            <w:vAlign w:val="center"/>
          </w:tcPr>
          <w:p w:rsidR="00617421" w:rsidRPr="006E7C15" w:rsidRDefault="00617421" w:rsidP="004A7735">
            <w:pPr>
              <w:rPr>
                <w:color w:val="FFFFFF" w:themeColor="background1"/>
              </w:rPr>
            </w:pPr>
            <w:r w:rsidRPr="001821B2">
              <w:rPr>
                <w:color w:val="FFFFFF" w:themeColor="background1"/>
              </w:rPr>
              <w:t xml:space="preserve">19. </w:t>
            </w:r>
            <w:r w:rsidR="009B1585">
              <w:rPr>
                <w:color w:val="FFFFFF" w:themeColor="background1"/>
              </w:rPr>
              <w:t>G</w:t>
            </w:r>
            <w:r w:rsidRPr="001821B2">
              <w:rPr>
                <w:color w:val="FFFFFF" w:themeColor="background1"/>
              </w:rPr>
              <w:t>uidebook for economic agents</w:t>
            </w:r>
          </w:p>
        </w:tc>
        <w:tc>
          <w:tcPr>
            <w:tcW w:w="445" w:type="dxa"/>
            <w:vMerge w:val="restart"/>
            <w:tcBorders>
              <w:top w:val="single" w:sz="18" w:space="0" w:color="FFFFFF"/>
              <w:right w:val="single" w:sz="2" w:space="0" w:color="FFFFFF"/>
            </w:tcBorders>
            <w:shd w:val="clear" w:color="auto" w:fill="D6E3BC"/>
            <w:vAlign w:val="center"/>
          </w:tcPr>
          <w:p w:rsidR="00617421" w:rsidRPr="006E7C15" w:rsidRDefault="00617421" w:rsidP="004A7735"/>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4A7735"/>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4A7735">
            <w:r w:rsidRPr="006E7C15">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6E7C15" w:rsidRDefault="00617421" w:rsidP="004A7735"/>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4A7735">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4A7735">
            <w:pPr>
              <w:jc w:val="center"/>
            </w:pP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4A7735">
            <w:pPr>
              <w:jc w:val="center"/>
            </w:pPr>
          </w:p>
        </w:tc>
        <w:tc>
          <w:tcPr>
            <w:tcW w:w="498" w:type="dxa"/>
            <w:vMerge w:val="restart"/>
            <w:tcBorders>
              <w:top w:val="single" w:sz="18" w:space="0" w:color="FFFFFF"/>
              <w:left w:val="single" w:sz="2" w:space="0" w:color="FFFFFF"/>
              <w:right w:val="single" w:sz="18" w:space="0" w:color="FFFFFF"/>
            </w:tcBorders>
            <w:shd w:val="clear" w:color="auto" w:fill="FBD4B4"/>
            <w:vAlign w:val="center"/>
          </w:tcPr>
          <w:p w:rsidR="00617421" w:rsidRPr="006E7C15" w:rsidRDefault="00617421" w:rsidP="004A7735">
            <w:pPr>
              <w:jc w:val="center"/>
            </w:pP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6E7C15" w:rsidRDefault="00617421" w:rsidP="004A7735"/>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4A7735">
            <w:r w:rsidRPr="006E7C15">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4A7735"/>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6E7C15" w:rsidRDefault="00617421" w:rsidP="004A7735"/>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617421" w:rsidRPr="006E7C15" w:rsidRDefault="00617421" w:rsidP="004A7735"/>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4A7735"/>
        </w:tc>
        <w:tc>
          <w:tcPr>
            <w:tcW w:w="63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rsidR="00617421" w:rsidRPr="006E7C15" w:rsidRDefault="00617421" w:rsidP="004A7735">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6E7C15" w:rsidRDefault="00617421" w:rsidP="004A7735"/>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6E7C15" w:rsidRDefault="00617421" w:rsidP="004A7735"/>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4A7735"/>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4A7735">
            <w:r w:rsidRPr="006E7C15">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4A7735"/>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6E7C15" w:rsidRDefault="00617421" w:rsidP="004A7735"/>
        </w:tc>
      </w:tr>
      <w:tr w:rsidR="00617421" w:rsidRPr="006E7C15" w:rsidTr="00E60731">
        <w:trPr>
          <w:trHeight w:val="732"/>
        </w:trPr>
        <w:tc>
          <w:tcPr>
            <w:tcW w:w="1596" w:type="dxa"/>
            <w:vMerge/>
            <w:tcBorders>
              <w:left w:val="single" w:sz="4" w:space="0" w:color="FFFFFF"/>
            </w:tcBorders>
            <w:shd w:val="clear" w:color="auto" w:fill="000000"/>
            <w:vAlign w:val="center"/>
          </w:tcPr>
          <w:p w:rsidR="00617421" w:rsidRPr="001821B2" w:rsidRDefault="00617421" w:rsidP="004A7735">
            <w:pPr>
              <w:rPr>
                <w:color w:val="FFFFFF" w:themeColor="background1"/>
              </w:rPr>
            </w:pPr>
          </w:p>
        </w:tc>
        <w:tc>
          <w:tcPr>
            <w:tcW w:w="445" w:type="dxa"/>
            <w:vMerge/>
            <w:tcBorders>
              <w:right w:val="single" w:sz="2" w:space="0" w:color="FFFFFF"/>
            </w:tcBorders>
            <w:shd w:val="clear" w:color="auto" w:fill="D6E3BC"/>
            <w:vAlign w:val="center"/>
          </w:tcPr>
          <w:p w:rsidR="00617421" w:rsidRPr="006E7C15" w:rsidRDefault="00617421" w:rsidP="004A7735"/>
        </w:tc>
        <w:tc>
          <w:tcPr>
            <w:tcW w:w="451" w:type="dxa"/>
            <w:vMerge/>
            <w:tcBorders>
              <w:left w:val="single" w:sz="2" w:space="0" w:color="FFFFFF"/>
              <w:right w:val="single" w:sz="2" w:space="0" w:color="FFFFFF"/>
            </w:tcBorders>
            <w:shd w:val="clear" w:color="auto" w:fill="D6E3BC"/>
            <w:vAlign w:val="center"/>
          </w:tcPr>
          <w:p w:rsidR="00617421" w:rsidRPr="006E7C15" w:rsidRDefault="00617421" w:rsidP="004A7735"/>
        </w:tc>
        <w:tc>
          <w:tcPr>
            <w:tcW w:w="362" w:type="dxa"/>
            <w:vMerge/>
            <w:tcBorders>
              <w:left w:val="single" w:sz="2" w:space="0" w:color="FFFFFF"/>
              <w:right w:val="single" w:sz="2" w:space="0" w:color="FFFFFF"/>
            </w:tcBorders>
            <w:shd w:val="clear" w:color="auto" w:fill="D6E3BC"/>
            <w:vAlign w:val="center"/>
          </w:tcPr>
          <w:p w:rsidR="00617421" w:rsidRPr="006E7C15" w:rsidRDefault="00617421" w:rsidP="004A7735">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rsidR="00617421" w:rsidRPr="006E7C15" w:rsidRDefault="00617421" w:rsidP="004A7735"/>
        </w:tc>
        <w:tc>
          <w:tcPr>
            <w:tcW w:w="498" w:type="dxa"/>
            <w:gridSpan w:val="2"/>
            <w:vMerge/>
            <w:tcBorders>
              <w:left w:val="single" w:sz="2" w:space="0" w:color="FFFFFF"/>
              <w:right w:val="single" w:sz="18" w:space="0" w:color="FFFFFF"/>
            </w:tcBorders>
            <w:shd w:val="clear" w:color="auto" w:fill="FBD4B4"/>
            <w:vAlign w:val="center"/>
          </w:tcPr>
          <w:p w:rsidR="00617421" w:rsidRPr="006E7C15" w:rsidRDefault="00617421" w:rsidP="004A7735">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rsidR="00617421" w:rsidRPr="006E7C15" w:rsidRDefault="00617421" w:rsidP="004A7735">
            <w:pPr>
              <w:jc w:val="center"/>
            </w:pPr>
          </w:p>
        </w:tc>
        <w:tc>
          <w:tcPr>
            <w:tcW w:w="498" w:type="dxa"/>
            <w:gridSpan w:val="2"/>
            <w:vMerge/>
            <w:tcBorders>
              <w:left w:val="single" w:sz="2" w:space="0" w:color="FFFFFF"/>
              <w:right w:val="single" w:sz="18" w:space="0" w:color="FFFFFF"/>
            </w:tcBorders>
            <w:shd w:val="clear" w:color="auto" w:fill="FBD4B4"/>
            <w:vAlign w:val="center"/>
          </w:tcPr>
          <w:p w:rsidR="00617421" w:rsidRPr="006E7C15" w:rsidRDefault="00617421" w:rsidP="004A7735">
            <w:pPr>
              <w:jc w:val="center"/>
            </w:pPr>
          </w:p>
        </w:tc>
        <w:tc>
          <w:tcPr>
            <w:tcW w:w="498" w:type="dxa"/>
            <w:vMerge/>
            <w:tcBorders>
              <w:left w:val="single" w:sz="2" w:space="0" w:color="FFFFFF"/>
              <w:right w:val="single" w:sz="18" w:space="0" w:color="FFFFFF"/>
            </w:tcBorders>
            <w:shd w:val="clear" w:color="auto" w:fill="FBD4B4"/>
            <w:vAlign w:val="center"/>
          </w:tcPr>
          <w:p w:rsidR="00617421" w:rsidRPr="006E7C15" w:rsidRDefault="00617421" w:rsidP="004A7735">
            <w:pPr>
              <w:jc w:val="center"/>
            </w:pPr>
          </w:p>
        </w:tc>
        <w:tc>
          <w:tcPr>
            <w:tcW w:w="450" w:type="dxa"/>
            <w:vMerge/>
            <w:tcBorders>
              <w:left w:val="single" w:sz="18" w:space="0" w:color="FFFFFF"/>
              <w:right w:val="single" w:sz="2" w:space="0" w:color="FFFFFF"/>
            </w:tcBorders>
            <w:shd w:val="clear" w:color="auto" w:fill="CCC0D9"/>
            <w:vAlign w:val="center"/>
          </w:tcPr>
          <w:p w:rsidR="00617421" w:rsidRPr="006E7C15" w:rsidRDefault="00617421" w:rsidP="004A7735"/>
        </w:tc>
        <w:tc>
          <w:tcPr>
            <w:tcW w:w="360" w:type="dxa"/>
            <w:vMerge/>
            <w:tcBorders>
              <w:left w:val="single" w:sz="2" w:space="0" w:color="FFFFFF"/>
              <w:right w:val="single" w:sz="2" w:space="0" w:color="FFFFFF"/>
            </w:tcBorders>
            <w:shd w:val="clear" w:color="auto" w:fill="CCC0D9"/>
            <w:vAlign w:val="center"/>
          </w:tcPr>
          <w:p w:rsidR="00617421" w:rsidRPr="006E7C15" w:rsidRDefault="00617421" w:rsidP="004A7735">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rsidR="00617421" w:rsidRPr="006E7C15" w:rsidRDefault="00617421" w:rsidP="004A7735"/>
        </w:tc>
        <w:tc>
          <w:tcPr>
            <w:tcW w:w="360" w:type="dxa"/>
            <w:vMerge/>
            <w:tcBorders>
              <w:left w:val="single" w:sz="2" w:space="0" w:color="FFFFFF"/>
              <w:right w:val="single" w:sz="18" w:space="0" w:color="FFFFFF"/>
            </w:tcBorders>
            <w:shd w:val="clear" w:color="auto" w:fill="CCC0D9"/>
            <w:vAlign w:val="center"/>
          </w:tcPr>
          <w:p w:rsidR="00617421" w:rsidRPr="006E7C15" w:rsidRDefault="00617421" w:rsidP="004A7735"/>
        </w:tc>
        <w:tc>
          <w:tcPr>
            <w:tcW w:w="540" w:type="dxa"/>
            <w:vMerge/>
            <w:tcBorders>
              <w:left w:val="single" w:sz="18" w:space="0" w:color="FFFFFF"/>
              <w:right w:val="single" w:sz="4" w:space="0" w:color="FFFFFF" w:themeColor="background1"/>
            </w:tcBorders>
            <w:shd w:val="clear" w:color="auto" w:fill="B8CCE4"/>
            <w:vAlign w:val="center"/>
          </w:tcPr>
          <w:p w:rsidR="00617421" w:rsidRPr="006E7C15" w:rsidRDefault="00617421" w:rsidP="004A7735"/>
        </w:tc>
        <w:tc>
          <w:tcPr>
            <w:tcW w:w="450" w:type="dxa"/>
            <w:vMerge/>
            <w:tcBorders>
              <w:left w:val="single" w:sz="4" w:space="0" w:color="FFFFFF" w:themeColor="background1"/>
              <w:right w:val="single" w:sz="4" w:space="0" w:color="FFFFFF" w:themeColor="background1"/>
            </w:tcBorders>
            <w:shd w:val="clear" w:color="auto" w:fill="B8CCE4"/>
            <w:vAlign w:val="center"/>
          </w:tcPr>
          <w:p w:rsidR="00617421" w:rsidRPr="006E7C15" w:rsidRDefault="00617421" w:rsidP="004A7735"/>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4A7735"/>
        </w:tc>
        <w:tc>
          <w:tcPr>
            <w:tcW w:w="461" w:type="dxa"/>
            <w:tcBorders>
              <w:left w:val="single" w:sz="4" w:space="0" w:color="FFFFFF" w:themeColor="background1"/>
              <w:right w:val="single" w:sz="18" w:space="0" w:color="FFFFFF"/>
            </w:tcBorders>
            <w:shd w:val="clear" w:color="auto" w:fill="B8CCE4"/>
            <w:vAlign w:val="center"/>
          </w:tcPr>
          <w:p w:rsidR="00617421" w:rsidRPr="006E7C15" w:rsidRDefault="00617421" w:rsidP="004A7735">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rsidR="00617421" w:rsidRPr="006E7C15" w:rsidRDefault="00617421" w:rsidP="004A7735"/>
        </w:tc>
        <w:tc>
          <w:tcPr>
            <w:tcW w:w="540" w:type="dxa"/>
            <w:vMerge/>
            <w:tcBorders>
              <w:left w:val="single" w:sz="2" w:space="0" w:color="FFFFFF"/>
              <w:right w:val="single" w:sz="2" w:space="0" w:color="FFFFFF"/>
            </w:tcBorders>
            <w:shd w:val="clear" w:color="auto" w:fill="D99594"/>
            <w:vAlign w:val="center"/>
          </w:tcPr>
          <w:p w:rsidR="00617421" w:rsidRPr="006E7C15" w:rsidRDefault="00617421" w:rsidP="004A7735"/>
        </w:tc>
        <w:tc>
          <w:tcPr>
            <w:tcW w:w="476" w:type="dxa"/>
            <w:vMerge/>
            <w:tcBorders>
              <w:left w:val="single" w:sz="2" w:space="0" w:color="FFFFFF"/>
              <w:right w:val="single" w:sz="2" w:space="0" w:color="FFFFFF"/>
            </w:tcBorders>
            <w:shd w:val="clear" w:color="auto" w:fill="D99594"/>
            <w:vAlign w:val="center"/>
          </w:tcPr>
          <w:p w:rsidR="00617421" w:rsidRPr="006E7C15" w:rsidRDefault="00617421" w:rsidP="004A7735">
            <w:pPr>
              <w:rPr>
                <w:rFonts w:ascii="MS Mincho" w:eastAsia="MS Mincho" w:hAnsi="MS Mincho" w:cs="MS Mincho"/>
                <w:sz w:val="20"/>
              </w:rPr>
            </w:pPr>
          </w:p>
        </w:tc>
        <w:tc>
          <w:tcPr>
            <w:tcW w:w="342" w:type="dxa"/>
            <w:vMerge/>
            <w:tcBorders>
              <w:left w:val="single" w:sz="2" w:space="0" w:color="FFFFFF"/>
              <w:right w:val="single" w:sz="2" w:space="0" w:color="FFFFFF"/>
            </w:tcBorders>
            <w:shd w:val="clear" w:color="auto" w:fill="D99594"/>
            <w:vAlign w:val="center"/>
          </w:tcPr>
          <w:p w:rsidR="00617421" w:rsidRPr="006E7C15" w:rsidRDefault="00617421" w:rsidP="004A7735"/>
        </w:tc>
        <w:tc>
          <w:tcPr>
            <w:tcW w:w="343" w:type="dxa"/>
            <w:vMerge/>
            <w:tcBorders>
              <w:left w:val="single" w:sz="2" w:space="0" w:color="FFFFFF"/>
              <w:right w:val="single" w:sz="18" w:space="0" w:color="FFFFFF"/>
            </w:tcBorders>
            <w:shd w:val="clear" w:color="auto" w:fill="D99594"/>
          </w:tcPr>
          <w:p w:rsidR="00617421" w:rsidRPr="006E7C15" w:rsidRDefault="00617421" w:rsidP="004A7735"/>
        </w:tc>
      </w:tr>
    </w:tbl>
    <w:p w:rsidR="00617421" w:rsidRPr="0010229D" w:rsidRDefault="00617421" w:rsidP="00FE5928">
      <w:pPr>
        <w:pStyle w:val="Heading3"/>
      </w:pPr>
      <w:r w:rsidRPr="0010229D">
        <w:t xml:space="preserve">Commitment </w:t>
      </w:r>
      <w:r w:rsidRPr="004B1C12">
        <w:t>A</w:t>
      </w:r>
      <w:r w:rsidRPr="0010229D">
        <w:t>im:</w:t>
      </w:r>
    </w:p>
    <w:p w:rsidR="00617421" w:rsidRPr="00C82219" w:rsidRDefault="00617421" w:rsidP="00C82219">
      <w:pPr>
        <w:pStyle w:val="Normalrglronly"/>
      </w:pPr>
      <w:bookmarkStart w:id="88" w:name="_Toc525759455"/>
      <w:r w:rsidRPr="00C82219">
        <w:t xml:space="preserve">To prevent violation of the Law of Georgia on Competition adopted in March 2014, and thus, to maintain competition among the market players, LEPL Competition Agency </w:t>
      </w:r>
      <w:r w:rsidR="00DE6212">
        <w:t>made</w:t>
      </w:r>
      <w:r w:rsidR="00DE6212" w:rsidRPr="00C82219">
        <w:t xml:space="preserve"> </w:t>
      </w:r>
      <w:r w:rsidRPr="00C82219">
        <w:t xml:space="preserve">a </w:t>
      </w:r>
      <w:r w:rsidRPr="00C82219">
        <w:lastRenderedPageBreak/>
        <w:t xml:space="preserve">commitment to instruct economic agents on regulations through drafting a Guidebook for Economic Agents. The </w:t>
      </w:r>
      <w:bookmarkEnd w:id="88"/>
      <w:r w:rsidRPr="00C82219">
        <w:t>commitment consisted of two main steps: 1) developing the Guidebook, and 2) disseminating information regarding the document. The Guidebook would serve as instruction manual for the private sector on already existing norms, by translating legal norms into more accessible and understandable language, with the aim to improve compliance with the Competition Law.</w:t>
      </w:r>
    </w:p>
    <w:p w:rsidR="00617421" w:rsidRPr="003222C1" w:rsidRDefault="00617421" w:rsidP="00FE5928">
      <w:pPr>
        <w:pStyle w:val="Heading3"/>
        <w:rPr>
          <w:noProof/>
          <w:szCs w:val="22"/>
        </w:rPr>
      </w:pPr>
      <w:r w:rsidRPr="0010229D">
        <w:t>Status</w:t>
      </w:r>
    </w:p>
    <w:p w:rsidR="00617421" w:rsidRPr="0053059F" w:rsidRDefault="00617421" w:rsidP="00821026">
      <w:pPr>
        <w:pStyle w:val="Normalrglronly"/>
        <w:rPr>
          <w:rFonts w:ascii="Sylfaen" w:hAnsi="Sylfaen"/>
          <w:b/>
        </w:rPr>
      </w:pPr>
      <w:r w:rsidRPr="004B1C12">
        <w:rPr>
          <w:b/>
        </w:rPr>
        <w:t xml:space="preserve">Midterm: </w:t>
      </w:r>
      <w:r w:rsidRPr="004B1C12">
        <w:rPr>
          <w:b/>
          <w:color w:val="000000" w:themeColor="text1"/>
        </w:rPr>
        <w:t>Substantial</w:t>
      </w:r>
    </w:p>
    <w:p w:rsidR="00617421" w:rsidRDefault="00617421" w:rsidP="00821026">
      <w:pPr>
        <w:pStyle w:val="Normalrglronly"/>
      </w:pPr>
      <w:r>
        <w:t xml:space="preserve">By the midterm, the commitment was substantially implemented. The Competition Agency adopted the Guidebook for Economic Agents in May 2017, which defined what an economic agent is, discusses all the possible scenarios where a market player might be violating competition standards such as abuse of a dominant position in the market, predatory pricing, price discrimination, and/or refusal to supply, and referred to the rulings by the Court of Justice of the European Union (CJEU). </w:t>
      </w:r>
    </w:p>
    <w:p w:rsidR="00617421" w:rsidRPr="00AB21CB" w:rsidRDefault="005339DC" w:rsidP="00821026">
      <w:pPr>
        <w:pStyle w:val="Normalrglronly"/>
      </w:pPr>
      <w:r>
        <w:t>T</w:t>
      </w:r>
      <w:r w:rsidR="00617421">
        <w:t>he Agency had yet to conduct dissemination activities. According to the representatives of the Agency, awareness-raising activities were planned for fall of 2017, including a conference for business community where the Guidebook would be disseminated.</w:t>
      </w:r>
      <w:r w:rsidR="00617421">
        <w:rPr>
          <w:rFonts w:ascii="Sylfaen" w:hAnsi="Sylfaen"/>
          <w:lang w:val="ka-GE"/>
        </w:rPr>
        <w:t xml:space="preserve"> </w:t>
      </w:r>
      <w:r w:rsidR="00617421" w:rsidRPr="00796370">
        <w:rPr>
          <w:color w:val="auto"/>
        </w:rPr>
        <w:t>For more information, please see the 201</w:t>
      </w:r>
      <w:r w:rsidR="00617421">
        <w:rPr>
          <w:color w:val="auto"/>
        </w:rPr>
        <w:t>6</w:t>
      </w:r>
      <w:r w:rsidR="00617421" w:rsidRPr="00796370">
        <w:rPr>
          <w:color w:val="auto"/>
        </w:rPr>
        <w:t>–201</w:t>
      </w:r>
      <w:r w:rsidR="00617421">
        <w:rPr>
          <w:color w:val="auto"/>
        </w:rPr>
        <w:t>7</w:t>
      </w:r>
      <w:r w:rsidR="00617421" w:rsidRPr="00796370">
        <w:rPr>
          <w:color w:val="auto"/>
        </w:rPr>
        <w:t xml:space="preserve"> IRM midterm report</w:t>
      </w:r>
      <w:r w:rsidR="00617421" w:rsidRPr="0010229D">
        <w:rPr>
          <w:i/>
          <w:color w:val="4F81BD" w:themeColor="accent1"/>
        </w:rPr>
        <w:t>.</w:t>
      </w:r>
      <w:r w:rsidR="00617421" w:rsidRPr="00796370">
        <w:rPr>
          <w:rStyle w:val="EndnoteReference"/>
          <w:color w:val="auto"/>
        </w:rPr>
        <w:t xml:space="preserve"> </w:t>
      </w:r>
      <w:r w:rsidR="00617421">
        <w:rPr>
          <w:rStyle w:val="EndnoteReference"/>
          <w:color w:val="auto"/>
        </w:rPr>
        <w:endnoteReference w:id="102"/>
      </w:r>
      <w:r w:rsidR="00617421" w:rsidRPr="0010229D">
        <w:rPr>
          <w:i/>
          <w:color w:val="4F81BD" w:themeColor="accent1"/>
        </w:rPr>
        <w:t> </w:t>
      </w:r>
    </w:p>
    <w:p w:rsidR="00617421"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rsidR="00617421" w:rsidRDefault="00617421" w:rsidP="00821026">
      <w:pPr>
        <w:pStyle w:val="Normalrglronly"/>
        <w:rPr>
          <w:color w:val="000000" w:themeColor="text1"/>
        </w:rPr>
      </w:pPr>
      <w:r w:rsidRPr="000375A4">
        <w:rPr>
          <w:color w:val="000000" w:themeColor="text1"/>
        </w:rPr>
        <w:t xml:space="preserve">After midterm, Competition Agency conducted several meetings with various stakeholders </w:t>
      </w:r>
      <w:r>
        <w:rPr>
          <w:color w:val="000000" w:themeColor="text1"/>
        </w:rPr>
        <w:t>to disseminate the</w:t>
      </w:r>
      <w:r w:rsidRPr="000375A4">
        <w:rPr>
          <w:color w:val="000000" w:themeColor="text1"/>
        </w:rPr>
        <w:t xml:space="preserve"> </w:t>
      </w:r>
      <w:r>
        <w:rPr>
          <w:color w:val="000000" w:themeColor="text1"/>
        </w:rPr>
        <w:t>G</w:t>
      </w:r>
      <w:r w:rsidRPr="000375A4">
        <w:rPr>
          <w:color w:val="000000" w:themeColor="text1"/>
        </w:rPr>
        <w:t xml:space="preserve">uidebook including: media representatives in summer </w:t>
      </w:r>
      <w:r>
        <w:rPr>
          <w:color w:val="000000" w:themeColor="text1"/>
        </w:rPr>
        <w:t xml:space="preserve">of </w:t>
      </w:r>
      <w:r w:rsidRPr="000375A4">
        <w:rPr>
          <w:color w:val="000000" w:themeColor="text1"/>
        </w:rPr>
        <w:t xml:space="preserve">2017 (25 participants in total), and business representatives in fall </w:t>
      </w:r>
      <w:r>
        <w:rPr>
          <w:color w:val="000000" w:themeColor="text1"/>
        </w:rPr>
        <w:t xml:space="preserve">of </w:t>
      </w:r>
      <w:r w:rsidRPr="000375A4">
        <w:rPr>
          <w:color w:val="000000" w:themeColor="text1"/>
        </w:rPr>
        <w:t xml:space="preserve">2017, including </w:t>
      </w:r>
      <w:r>
        <w:rPr>
          <w:color w:val="000000" w:themeColor="text1"/>
        </w:rPr>
        <w:t xml:space="preserve">events such as </w:t>
      </w:r>
      <w:r w:rsidRPr="000375A4">
        <w:rPr>
          <w:color w:val="000000" w:themeColor="text1"/>
        </w:rPr>
        <w:t xml:space="preserve">International Competition Conference and World Competition Day. The Agency also trained 30 judges from all three court instances, </w:t>
      </w:r>
      <w:r>
        <w:rPr>
          <w:color w:val="000000" w:themeColor="text1"/>
        </w:rPr>
        <w:t xml:space="preserve">where </w:t>
      </w:r>
      <w:r w:rsidRPr="000375A4">
        <w:rPr>
          <w:color w:val="000000" w:themeColor="text1"/>
        </w:rPr>
        <w:t xml:space="preserve">issues from the </w:t>
      </w:r>
      <w:r>
        <w:rPr>
          <w:color w:val="000000" w:themeColor="text1"/>
        </w:rPr>
        <w:t>G</w:t>
      </w:r>
      <w:r w:rsidRPr="000375A4">
        <w:rPr>
          <w:color w:val="000000" w:themeColor="text1"/>
        </w:rPr>
        <w:t>uidebook</w:t>
      </w:r>
      <w:r>
        <w:rPr>
          <w:color w:val="000000" w:themeColor="text1"/>
        </w:rPr>
        <w:t xml:space="preserve"> were discussed</w:t>
      </w:r>
      <w:r w:rsidRPr="000375A4">
        <w:rPr>
          <w:color w:val="000000" w:themeColor="text1"/>
        </w:rPr>
        <w:t xml:space="preserve">. </w:t>
      </w:r>
      <w:r w:rsidR="009B1585">
        <w:rPr>
          <w:color w:val="000000" w:themeColor="text1"/>
        </w:rPr>
        <w:t>Hard copies of the Guidebook were distributed during the events organized by the Competition Agency, and electronic copies specifically directed at individuals actively working in competition field.</w:t>
      </w:r>
      <w:r w:rsidR="009B1585">
        <w:rPr>
          <w:rStyle w:val="EndnoteReference"/>
          <w:color w:val="000000" w:themeColor="text1"/>
        </w:rPr>
        <w:endnoteReference w:id="103"/>
      </w:r>
      <w:r w:rsidR="009B1585">
        <w:rPr>
          <w:color w:val="000000" w:themeColor="text1"/>
        </w:rPr>
        <w:t xml:space="preserve"> </w:t>
      </w:r>
      <w:r w:rsidRPr="000375A4">
        <w:rPr>
          <w:color w:val="000000" w:themeColor="text1"/>
        </w:rPr>
        <w:t>The Agency plan</w:t>
      </w:r>
      <w:r w:rsidR="007A6321">
        <w:rPr>
          <w:color w:val="000000" w:themeColor="text1"/>
        </w:rPr>
        <w:t>ned</w:t>
      </w:r>
      <w:r w:rsidRPr="000375A4">
        <w:rPr>
          <w:color w:val="000000" w:themeColor="text1"/>
        </w:rPr>
        <w:t xml:space="preserve"> another meeting with journalists in December 2018.</w:t>
      </w:r>
      <w:r>
        <w:rPr>
          <w:rStyle w:val="EndnoteReference"/>
          <w:color w:val="000000" w:themeColor="text1"/>
        </w:rPr>
        <w:endnoteReference w:id="104"/>
      </w:r>
      <w:r w:rsidRPr="000375A4">
        <w:rPr>
          <w:color w:val="000000" w:themeColor="text1"/>
        </w:rPr>
        <w:t xml:space="preserve"> </w:t>
      </w:r>
    </w:p>
    <w:p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rsidR="00617421" w:rsidRDefault="00617421" w:rsidP="00821026">
      <w:pPr>
        <w:rPr>
          <w:b/>
          <w:color w:val="000000" w:themeColor="text1"/>
        </w:rPr>
      </w:pPr>
      <w:r w:rsidRPr="004B1C12">
        <w:rPr>
          <w:b/>
          <w:color w:val="000000" w:themeColor="text1"/>
        </w:rPr>
        <w:t>Access to Information: Marginal</w:t>
      </w:r>
    </w:p>
    <w:p w:rsidR="00E60731" w:rsidRDefault="00E60731" w:rsidP="00821026">
      <w:pPr>
        <w:rPr>
          <w:b/>
          <w:color w:val="000000" w:themeColor="text1"/>
        </w:rPr>
      </w:pPr>
    </w:p>
    <w:p w:rsidR="009B1585" w:rsidRDefault="00617421" w:rsidP="009B1585">
      <w:pPr>
        <w:pStyle w:val="Normalrglronly"/>
        <w:rPr>
          <w:rFonts w:eastAsia="Cambria" w:cs="Times New Roman"/>
          <w:bCs/>
          <w:color w:val="auto"/>
        </w:rPr>
      </w:pPr>
      <w:r>
        <w:rPr>
          <w:color w:val="000000" w:themeColor="text1"/>
        </w:rPr>
        <w:t>The Guidebook</w:t>
      </w:r>
      <w:r w:rsidR="00852CA1">
        <w:rPr>
          <w:color w:val="000000" w:themeColor="text1"/>
        </w:rPr>
        <w:t xml:space="preserve"> for Economic Agents</w:t>
      </w:r>
      <w:r>
        <w:rPr>
          <w:color w:val="000000" w:themeColor="text1"/>
        </w:rPr>
        <w:t xml:space="preserve">, </w:t>
      </w:r>
      <w:r w:rsidR="00852CA1">
        <w:rPr>
          <w:color w:val="000000" w:themeColor="text1"/>
        </w:rPr>
        <w:t>was adopted and disseminated as planned through the commitment, explaining in simple terms</w:t>
      </w:r>
      <w:r>
        <w:rPr>
          <w:color w:val="000000" w:themeColor="text1"/>
        </w:rPr>
        <w:t xml:space="preserve"> what counts as violations of competition standards. </w:t>
      </w:r>
      <w:r w:rsidR="007B7EA2" w:rsidRPr="007B7EA2">
        <w:rPr>
          <w:rFonts w:eastAsia="Cambria" w:cs="Times New Roman"/>
          <w:bCs/>
          <w:color w:val="auto"/>
        </w:rPr>
        <w:t xml:space="preserve">The Guidebook defines what an economic agent is, </w:t>
      </w:r>
      <w:r w:rsidR="007B7EA2">
        <w:rPr>
          <w:rFonts w:eastAsia="Cambria" w:cs="Times New Roman"/>
          <w:bCs/>
          <w:color w:val="auto"/>
        </w:rPr>
        <w:t>and describes various scenarios which might constitute</w:t>
      </w:r>
      <w:r w:rsidR="007B7EA2" w:rsidRPr="007B7EA2">
        <w:rPr>
          <w:rFonts w:eastAsia="Cambria" w:cs="Times New Roman"/>
          <w:bCs/>
          <w:color w:val="auto"/>
        </w:rPr>
        <w:t xml:space="preserve"> </w:t>
      </w:r>
      <w:r w:rsidR="007B7EA2">
        <w:rPr>
          <w:rFonts w:eastAsia="Cambria" w:cs="Times New Roman"/>
          <w:bCs/>
          <w:color w:val="auto"/>
        </w:rPr>
        <w:t>a violation of</w:t>
      </w:r>
      <w:r w:rsidR="007B7EA2" w:rsidRPr="007B7EA2">
        <w:rPr>
          <w:rFonts w:eastAsia="Cambria" w:cs="Times New Roman"/>
          <w:bCs/>
          <w:color w:val="auto"/>
        </w:rPr>
        <w:t xml:space="preserve"> competition standards, such as</w:t>
      </w:r>
      <w:r w:rsidR="007B7EA2">
        <w:rPr>
          <w:rFonts w:eastAsia="Cambria" w:cs="Times New Roman"/>
          <w:bCs/>
          <w:color w:val="auto"/>
        </w:rPr>
        <w:t>:</w:t>
      </w:r>
      <w:r w:rsidR="007B7EA2" w:rsidRPr="007B7EA2">
        <w:rPr>
          <w:rFonts w:eastAsia="Cambria" w:cs="Times New Roman"/>
          <w:bCs/>
          <w:color w:val="auto"/>
        </w:rPr>
        <w:t xml:space="preserve"> abuse of a dominant position on the market, predatory pricing, price discrimination, refusal to supply</w:t>
      </w:r>
      <w:r w:rsidR="007B7EA2">
        <w:rPr>
          <w:rFonts w:eastAsia="Cambria" w:cs="Times New Roman"/>
          <w:bCs/>
          <w:color w:val="auto"/>
        </w:rPr>
        <w:t>,</w:t>
      </w:r>
      <w:r w:rsidR="007B7EA2" w:rsidRPr="007B7EA2">
        <w:rPr>
          <w:rFonts w:eastAsia="Cambria" w:cs="Times New Roman"/>
          <w:bCs/>
          <w:color w:val="auto"/>
        </w:rPr>
        <w:t xml:space="preserve"> and more</w:t>
      </w:r>
      <w:r w:rsidR="007B7EA2">
        <w:rPr>
          <w:rFonts w:eastAsia="Cambria" w:cs="Times New Roman"/>
          <w:bCs/>
          <w:color w:val="auto"/>
        </w:rPr>
        <w:t>. Theoretical discussion is supplemented by the rulings of the</w:t>
      </w:r>
      <w:r w:rsidR="007B7EA2" w:rsidRPr="007B7EA2">
        <w:rPr>
          <w:rFonts w:eastAsia="Cambria" w:cs="Times New Roman"/>
          <w:bCs/>
          <w:color w:val="auto"/>
        </w:rPr>
        <w:t xml:space="preserve"> Court of Justice of the European Union (CJEU</w:t>
      </w:r>
      <w:r w:rsidR="007B7EA2">
        <w:rPr>
          <w:rFonts w:eastAsia="Cambria" w:cs="Times New Roman"/>
          <w:bCs/>
          <w:color w:val="auto"/>
        </w:rPr>
        <w:t>)</w:t>
      </w:r>
      <w:r w:rsidR="007B7EA2" w:rsidRPr="007B7EA2">
        <w:rPr>
          <w:rFonts w:eastAsia="Cambria" w:cs="Times New Roman"/>
          <w:bCs/>
          <w:color w:val="auto"/>
        </w:rPr>
        <w:t xml:space="preserve">. The Guidebook </w:t>
      </w:r>
      <w:r w:rsidR="007B7EA2">
        <w:rPr>
          <w:rFonts w:eastAsia="Cambria" w:cs="Times New Roman"/>
          <w:bCs/>
          <w:color w:val="auto"/>
        </w:rPr>
        <w:t>is illustrated and easy to understand for an untrained reader</w:t>
      </w:r>
      <w:r w:rsidR="007B7EA2" w:rsidRPr="007B7EA2">
        <w:rPr>
          <w:rFonts w:eastAsia="Cambria" w:cs="Times New Roman"/>
          <w:bCs/>
          <w:color w:val="auto"/>
        </w:rPr>
        <w:t>.</w:t>
      </w:r>
      <w:r w:rsidR="007B7EA2">
        <w:rPr>
          <w:rFonts w:eastAsia="Cambria" w:cs="Times New Roman"/>
          <w:bCs/>
          <w:color w:val="auto"/>
        </w:rPr>
        <w:t xml:space="preserve"> </w:t>
      </w:r>
    </w:p>
    <w:p w:rsidR="00617421" w:rsidRPr="00AB21CB" w:rsidRDefault="00617421" w:rsidP="00E8360E">
      <w:pPr>
        <w:pStyle w:val="Normalrglronly"/>
        <w:rPr>
          <w:color w:val="000000" w:themeColor="text1"/>
        </w:rPr>
      </w:pPr>
      <w:r>
        <w:rPr>
          <w:color w:val="000000" w:themeColor="text1"/>
        </w:rPr>
        <w:t>The improvement in terms of enhancing access to information is marginal</w:t>
      </w:r>
      <w:r w:rsidR="009B1585">
        <w:rPr>
          <w:color w:val="000000" w:themeColor="text1"/>
        </w:rPr>
        <w:t>. According to a representative of an insurance company actively collaborating with the Competition Agency, based on his experience, explaining provisions in the Law on Competition to non-lawyers is challenging, which is why he and colleagues in other insurance firms find the Guidebook to be helpful in explaining regulations to their clients. Based on his feedback, all active insurance firms employ the Guidebook in their day to day work.</w:t>
      </w:r>
      <w:r w:rsidR="009B1585">
        <w:rPr>
          <w:rStyle w:val="EndnoteReference"/>
          <w:color w:val="000000" w:themeColor="text1"/>
        </w:rPr>
        <w:endnoteReference w:id="105"/>
      </w:r>
      <w:r w:rsidR="009B1585">
        <w:rPr>
          <w:color w:val="000000" w:themeColor="text1"/>
        </w:rPr>
        <w:t xml:space="preserve"> Similarly, the Chair of the Commercial and Competition Law Committee of the Georgian Bar Association positively assesses the Guidebook, </w:t>
      </w:r>
      <w:r w:rsidR="009B1585">
        <w:rPr>
          <w:color w:val="000000" w:themeColor="text1"/>
        </w:rPr>
        <w:lastRenderedPageBreak/>
        <w:t xml:space="preserve">and stresses that the document was helpful in designing training modules for lawyers. While the lawyers have no difficulty interpreting the Law on Competition, the simplicity of the Guidebook and its accompanying visualizations serve as a backbone of their training design on competition regulations aimed at raising awareness regarding the existing legal framework. </w:t>
      </w:r>
    </w:p>
    <w:p w:rsidR="00617421" w:rsidRPr="004B1C12" w:rsidRDefault="00617421" w:rsidP="00FE5928">
      <w:pPr>
        <w:pStyle w:val="Heading3"/>
      </w:pPr>
      <w:r w:rsidRPr="0010229D">
        <w:t xml:space="preserve">Carried </w:t>
      </w:r>
      <w:r w:rsidRPr="004B1C12">
        <w:t>F</w:t>
      </w:r>
      <w:r w:rsidRPr="0010229D">
        <w:t>orward?</w:t>
      </w:r>
    </w:p>
    <w:p w:rsidR="00617421" w:rsidRDefault="0000407D" w:rsidP="00821026">
      <w:pPr>
        <w:pStyle w:val="Normalrglronly"/>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w:t>
      </w:r>
      <w:r w:rsidR="007A6321">
        <w:rPr>
          <w:color w:val="000000" w:themeColor="text1"/>
        </w:rPr>
        <w:t>019</w:t>
      </w:r>
      <w:r>
        <w:rPr>
          <w:color w:val="000000" w:themeColor="text1"/>
        </w:rPr>
        <w:t xml:space="preserve">. </w:t>
      </w:r>
    </w:p>
    <w:bookmarkEnd w:id="68"/>
    <w:p w:rsidR="00A45129" w:rsidRDefault="00A45129" w:rsidP="00C82219">
      <w:pPr>
        <w:pStyle w:val="Heading2"/>
        <w:sectPr w:rsidR="00A45129"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A45129" w:rsidRDefault="00A45129" w:rsidP="00C82219">
      <w:pPr>
        <w:pStyle w:val="Heading2"/>
        <w:sectPr w:rsidR="00A45129" w:rsidSect="00A45129">
          <w:footnotePr>
            <w:numRestart w:val="eachSect"/>
          </w:footnotePr>
          <w:endnotePr>
            <w:numFmt w:val="decimal"/>
            <w:numRestart w:val="eachSect"/>
          </w:endnotePr>
          <w:pgSz w:w="11907" w:h="16839" w:code="9"/>
          <w:pgMar w:top="1411" w:right="1411" w:bottom="1411" w:left="1411" w:header="0" w:footer="0" w:gutter="0"/>
          <w:cols w:space="708"/>
          <w:docGrid w:linePitch="360"/>
        </w:sectPr>
      </w:pPr>
    </w:p>
    <w:p w:rsidR="00617421" w:rsidRPr="004C5209" w:rsidRDefault="00617421" w:rsidP="00C82219">
      <w:pPr>
        <w:pStyle w:val="Heading2"/>
        <w:rPr>
          <w:rFonts w:ascii="Sylfaen" w:hAnsi="Sylfaen"/>
          <w:lang w:val="ka-GE"/>
        </w:rPr>
      </w:pPr>
      <w:bookmarkStart w:id="89" w:name="_Toc409220392"/>
      <w:r w:rsidRPr="001821B2">
        <w:lastRenderedPageBreak/>
        <w:t>20. Development and introduction of the quality control program of commercial service</w:t>
      </w:r>
      <w:bookmarkEnd w:id="89"/>
      <w:r w:rsidRPr="001821B2">
        <w:t xml:space="preserve"> </w:t>
      </w:r>
    </w:p>
    <w:p w:rsidR="00617421" w:rsidRDefault="00617421" w:rsidP="00821026">
      <w:pPr>
        <w:pStyle w:val="Normalrglronly"/>
        <w:rPr>
          <w:b/>
        </w:rPr>
      </w:pPr>
      <w:r w:rsidRPr="004B1C12">
        <w:rPr>
          <w:b/>
        </w:rPr>
        <w:t>Commitment Text:</w:t>
      </w:r>
    </w:p>
    <w:p w:rsidR="00617421" w:rsidRDefault="00617421" w:rsidP="00821026">
      <w:pPr>
        <w:pStyle w:val="APQuotefeaturetol"/>
      </w:pPr>
      <w:r>
        <w:t>In the framework of the Action Plan, Georgian National Energy and Water Supply Regulatory Commission (further on, Commission) shall ensure development and introduction of the program of quality control of commercial service.</w:t>
      </w:r>
    </w:p>
    <w:p w:rsidR="00617421" w:rsidRDefault="00617421" w:rsidP="00821026">
      <w:pPr>
        <w:pStyle w:val="APQuotefeaturetol"/>
      </w:pPr>
      <w:r>
        <w:t>The Commission by Resolution #13 of July 25, 2016 approved “Commercial Quality Rules of Service” which aims at improving commercial quality of service rendered to customers by electricity and natural gas distribution licensees, water supply licensees and natural gas suppliers (further on, enterprise).</w:t>
      </w:r>
    </w:p>
    <w:p w:rsidR="00617421" w:rsidRDefault="00617421" w:rsidP="00821026">
      <w:pPr>
        <w:pStyle w:val="APQuotefeaturetol"/>
      </w:pPr>
      <w:r>
        <w:t>Commercial quality of service is important from the point of view of customers’ rights since it consists of key standards for electricity and natural gas distribution and accessibility of customers in the field of water supply and customers’ rights protection, which is a vital issue both internally and internationally. For example, as of 2011, in the framework of the project Doing Business, in the common rating developed by WB, Georgia occupied 17</w:t>
      </w:r>
      <w:r w:rsidRPr="002B13F6">
        <w:rPr>
          <w:vertAlign w:val="superscript"/>
        </w:rPr>
        <w:t>th</w:t>
      </w:r>
      <w:r>
        <w:t xml:space="preserve"> position, however, in one of the criteria of the survey, access to the electricity (connecting to the network), Georgia occupied only 91</w:t>
      </w:r>
      <w:r w:rsidRPr="002B13F6">
        <w:rPr>
          <w:vertAlign w:val="superscript"/>
        </w:rPr>
        <w:t>st</w:t>
      </w:r>
      <w:r>
        <w:t xml:space="preserve"> position. After the Commission adopted and introduced regulation addressing customer access to the service of connecting to the network, Georgia moved from 91</w:t>
      </w:r>
      <w:r w:rsidRPr="002B13F6">
        <w:rPr>
          <w:vertAlign w:val="superscript"/>
        </w:rPr>
        <w:t>st</w:t>
      </w:r>
      <w:r>
        <w:t xml:space="preserve"> to 50</w:t>
      </w:r>
      <w:r w:rsidRPr="002B13F6">
        <w:rPr>
          <w:vertAlign w:val="superscript"/>
        </w:rPr>
        <w:t>th</w:t>
      </w:r>
      <w:r>
        <w:t xml:space="preserve"> position.</w:t>
      </w:r>
    </w:p>
    <w:p w:rsidR="00617421" w:rsidRDefault="00617421" w:rsidP="00821026">
      <w:pPr>
        <w:pStyle w:val="APQuotefeaturetol"/>
      </w:pPr>
      <w:r>
        <w:t>Now the main challenge of the Commission is development and regulation of an efficient mechanism for monitoring commercial service quality. One of the components is to inform customers about their enterprise rights and obligations, which will improve accountability and transparency regarding customers’ rights.</w:t>
      </w:r>
    </w:p>
    <w:p w:rsidR="00617421" w:rsidRDefault="00617421" w:rsidP="00821026"/>
    <w:p w:rsidR="00617421" w:rsidRPr="00B57E9C" w:rsidRDefault="00617421" w:rsidP="00821026">
      <w:pPr>
        <w:pStyle w:val="Normalrglronly"/>
      </w:pPr>
      <w:r w:rsidRPr="00B57E9C">
        <w:t>Responsible institution</w:t>
      </w:r>
      <w:r>
        <w:t>(s)</w:t>
      </w:r>
      <w:r w:rsidRPr="00B57E9C">
        <w:t>: Georgian National Energy and Water Supply Regulatory Commission</w:t>
      </w:r>
    </w:p>
    <w:p w:rsidR="00617421" w:rsidRPr="00B57E9C" w:rsidRDefault="00617421" w:rsidP="00821026">
      <w:pPr>
        <w:pStyle w:val="Normalrglronly"/>
      </w:pPr>
      <w:r w:rsidRPr="00B57E9C">
        <w:t xml:space="preserve">Supporting institution(s): </w:t>
      </w:r>
      <w:r w:rsidRPr="00B57E9C">
        <w:rPr>
          <w:noProof/>
        </w:rPr>
        <w:t>None</w:t>
      </w:r>
    </w:p>
    <w:p w:rsidR="00617421" w:rsidRDefault="00617421" w:rsidP="00821026">
      <w:pPr>
        <w:spacing w:after="120"/>
        <w:rPr>
          <w:szCs w:val="22"/>
        </w:rPr>
      </w:pPr>
      <w:r w:rsidRPr="00B57E9C">
        <w:rPr>
          <w:szCs w:val="22"/>
        </w:rPr>
        <w:t>Start date: January 2016    End date: December 2017</w:t>
      </w:r>
    </w:p>
    <w:p w:rsidR="00617421" w:rsidRDefault="00617421" w:rsidP="00821026">
      <w:pPr>
        <w:spacing w:after="120"/>
        <w:rPr>
          <w:szCs w:val="22"/>
        </w:rPr>
      </w:pPr>
    </w:p>
    <w:tbl>
      <w:tblPr>
        <w:tblW w:w="10971"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6E7C15"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6E7C15" w:rsidRDefault="00617421" w:rsidP="00AB21CB">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6E7C15" w:rsidRDefault="00617421" w:rsidP="00AB21CB">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6E7C15" w:rsidRDefault="00617421" w:rsidP="00AB21CB">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6E7C15" w:rsidRDefault="00617421" w:rsidP="00AB21CB">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6E7C15" w:rsidRDefault="00617421" w:rsidP="00AB21CB">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6E7C15" w:rsidRDefault="00617421" w:rsidP="00AB21CB">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6E7C15" w:rsidRDefault="00617421" w:rsidP="00AB21CB">
            <w:r w:rsidRPr="006E7C15">
              <w:t>Did It Open Government?</w:t>
            </w:r>
          </w:p>
        </w:tc>
      </w:tr>
      <w:tr w:rsidR="00617421" w:rsidRPr="006E7C15" w:rsidTr="00E60731">
        <w:trPr>
          <w:trHeight w:val="373"/>
        </w:trPr>
        <w:tc>
          <w:tcPr>
            <w:tcW w:w="1596" w:type="dxa"/>
            <w:vMerge/>
            <w:tcBorders>
              <w:left w:val="single" w:sz="4" w:space="0" w:color="FFFFFF"/>
              <w:right w:val="single" w:sz="18" w:space="0" w:color="FFFFFF"/>
            </w:tcBorders>
            <w:shd w:val="clear" w:color="auto" w:fill="000000"/>
            <w:vAlign w:val="center"/>
          </w:tcPr>
          <w:p w:rsidR="00617421" w:rsidRPr="006E7C15" w:rsidRDefault="00617421" w:rsidP="00AB21CB">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6E7C15" w:rsidRDefault="00617421" w:rsidP="00AB21CB"/>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6E7C15" w:rsidRDefault="00617421" w:rsidP="00AB21CB"/>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6E7C15" w:rsidRDefault="00617421" w:rsidP="00AB21CB"/>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6E7C15" w:rsidRDefault="00617421" w:rsidP="00AB21CB"/>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6E7C15" w:rsidRDefault="00617421" w:rsidP="00AB21CB">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6E7C15" w:rsidRDefault="00617421" w:rsidP="00AB21CB"/>
        </w:tc>
      </w:tr>
      <w:tr w:rsidR="00617421" w:rsidRPr="006E7C15"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6E7C15" w:rsidRDefault="00617421" w:rsidP="00AB21CB">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6E7C15" w:rsidRDefault="00617421" w:rsidP="00AB21CB">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AB21CB">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AB21CB">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6E7C15" w:rsidRDefault="00617421" w:rsidP="00AB21CB">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AB21CB">
            <w:r w:rsidRPr="006E7C15">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AB21CB">
            <w:r w:rsidRPr="006E7C15">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AB21CB">
            <w:r w:rsidRPr="006E7C15">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6E7C15" w:rsidRDefault="00617421" w:rsidP="00AB21CB">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6E7C15" w:rsidRDefault="00617421" w:rsidP="00AB21CB">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AB21CB">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AB21CB">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6E7C15" w:rsidRDefault="00617421" w:rsidP="00AB21CB">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6E7C15" w:rsidRDefault="00617421" w:rsidP="00AB21CB">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AB21CB">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AB21CB">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6E7C15" w:rsidRDefault="00617421" w:rsidP="00AB21CB">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6E7C15" w:rsidRDefault="00617421" w:rsidP="00AB21CB">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AB21CB">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AB21CB">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AB21CB">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6E7C15" w:rsidRDefault="00617421" w:rsidP="00AB21CB">
            <w:r w:rsidRPr="006E7C15">
              <w:t>Outstanding</w:t>
            </w:r>
          </w:p>
        </w:tc>
      </w:tr>
      <w:tr w:rsidR="00617421" w:rsidRPr="006E7C15" w:rsidTr="00E60731">
        <w:trPr>
          <w:trHeight w:val="1095"/>
        </w:trPr>
        <w:tc>
          <w:tcPr>
            <w:tcW w:w="1596" w:type="dxa"/>
            <w:vMerge w:val="restart"/>
            <w:tcBorders>
              <w:top w:val="single" w:sz="18" w:space="0" w:color="FFFFFF"/>
              <w:left w:val="single" w:sz="4" w:space="0" w:color="FFFFFF"/>
            </w:tcBorders>
            <w:shd w:val="clear" w:color="auto" w:fill="000000"/>
            <w:vAlign w:val="center"/>
          </w:tcPr>
          <w:p w:rsidR="00617421" w:rsidRPr="006E7C15" w:rsidRDefault="00617421" w:rsidP="00AB21CB">
            <w:pPr>
              <w:rPr>
                <w:color w:val="FFFFFF" w:themeColor="background1"/>
              </w:rPr>
            </w:pPr>
            <w:r w:rsidRPr="001821B2">
              <w:rPr>
                <w:color w:val="FFFFFF" w:themeColor="background1"/>
              </w:rPr>
              <w:lastRenderedPageBreak/>
              <w:t xml:space="preserve">20. </w:t>
            </w:r>
            <w:r w:rsidR="009B1585">
              <w:rPr>
                <w:color w:val="FFFFFF" w:themeColor="background1"/>
              </w:rPr>
              <w:t>Q</w:t>
            </w:r>
            <w:r w:rsidRPr="001821B2">
              <w:rPr>
                <w:color w:val="FFFFFF" w:themeColor="background1"/>
              </w:rPr>
              <w:t>uality control program of commercial service</w:t>
            </w:r>
          </w:p>
        </w:tc>
        <w:tc>
          <w:tcPr>
            <w:tcW w:w="445" w:type="dxa"/>
            <w:vMerge w:val="restart"/>
            <w:tcBorders>
              <w:top w:val="single" w:sz="18" w:space="0" w:color="FFFFFF"/>
              <w:right w:val="single" w:sz="2" w:space="0" w:color="FFFFFF"/>
            </w:tcBorders>
            <w:shd w:val="clear" w:color="auto" w:fill="D6E3BC"/>
            <w:vAlign w:val="center"/>
          </w:tcPr>
          <w:p w:rsidR="00617421" w:rsidRPr="006E7C15" w:rsidRDefault="00617421" w:rsidP="00AB21CB"/>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AB21CB"/>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AB21CB"/>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6E7C15" w:rsidRDefault="00617421" w:rsidP="00AB21CB">
            <w:r w:rsidRPr="006E7C15">
              <w:rPr>
                <w:rFonts w:ascii="MS Mincho" w:eastAsia="MS Mincho" w:hAnsi="MS Mincho" w:cs="MS Mincho"/>
                <w:sz w:val="20"/>
              </w:rPr>
              <w:t>✔</w:t>
            </w:r>
          </w:p>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rsidR="00617421" w:rsidRPr="001821B2" w:rsidRDefault="00617421" w:rsidP="00AB21CB">
            <w:pPr>
              <w:spacing w:after="120"/>
              <w:jc w:val="center"/>
              <w:rPr>
                <w:szCs w:val="22"/>
              </w:rPr>
            </w:pPr>
            <w:r w:rsidRPr="001821B2">
              <w:rPr>
                <w:szCs w:val="22"/>
              </w:rP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6E7C15" w:rsidRDefault="00617421" w:rsidP="00AB21CB"/>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AB21CB"/>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AB21CB">
            <w:r w:rsidRPr="006E7C15">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6E7C15" w:rsidRDefault="00617421" w:rsidP="00AB21CB"/>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617421" w:rsidRPr="006E7C15" w:rsidRDefault="00617421" w:rsidP="00AB21CB"/>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AB21CB"/>
        </w:tc>
        <w:tc>
          <w:tcPr>
            <w:tcW w:w="63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rsidR="00617421" w:rsidRPr="006E7C15" w:rsidRDefault="00617421" w:rsidP="00AB21CB">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6E7C15" w:rsidRDefault="00617421" w:rsidP="00AB21CB"/>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617421" w:rsidRPr="006E7C15" w:rsidRDefault="00617421" w:rsidP="00AB21CB"/>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AB21CB">
            <w:r w:rsidRPr="006E7C15">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AB21CB"/>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AB21CB"/>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6E7C15" w:rsidRDefault="00617421" w:rsidP="00AB21CB"/>
        </w:tc>
      </w:tr>
      <w:tr w:rsidR="00617421" w:rsidRPr="006E7C15" w:rsidTr="00E60731">
        <w:trPr>
          <w:trHeight w:val="1094"/>
        </w:trPr>
        <w:tc>
          <w:tcPr>
            <w:tcW w:w="1596" w:type="dxa"/>
            <w:vMerge/>
            <w:tcBorders>
              <w:left w:val="single" w:sz="4" w:space="0" w:color="FFFFFF"/>
            </w:tcBorders>
            <w:shd w:val="clear" w:color="auto" w:fill="000000"/>
            <w:vAlign w:val="center"/>
          </w:tcPr>
          <w:p w:rsidR="00617421" w:rsidRPr="001821B2" w:rsidRDefault="00617421" w:rsidP="00AB21CB">
            <w:pPr>
              <w:rPr>
                <w:color w:val="FFFFFF" w:themeColor="background1"/>
              </w:rPr>
            </w:pPr>
          </w:p>
        </w:tc>
        <w:tc>
          <w:tcPr>
            <w:tcW w:w="445" w:type="dxa"/>
            <w:vMerge/>
            <w:tcBorders>
              <w:right w:val="single" w:sz="2" w:space="0" w:color="FFFFFF"/>
            </w:tcBorders>
            <w:shd w:val="clear" w:color="auto" w:fill="D6E3BC"/>
            <w:vAlign w:val="center"/>
          </w:tcPr>
          <w:p w:rsidR="00617421" w:rsidRPr="006E7C15" w:rsidRDefault="00617421" w:rsidP="00AB21CB"/>
        </w:tc>
        <w:tc>
          <w:tcPr>
            <w:tcW w:w="451" w:type="dxa"/>
            <w:vMerge/>
            <w:tcBorders>
              <w:left w:val="single" w:sz="2" w:space="0" w:color="FFFFFF"/>
              <w:right w:val="single" w:sz="2" w:space="0" w:color="FFFFFF"/>
            </w:tcBorders>
            <w:shd w:val="clear" w:color="auto" w:fill="D6E3BC"/>
            <w:vAlign w:val="center"/>
          </w:tcPr>
          <w:p w:rsidR="00617421" w:rsidRPr="006E7C15" w:rsidRDefault="00617421" w:rsidP="00AB21CB"/>
        </w:tc>
        <w:tc>
          <w:tcPr>
            <w:tcW w:w="362" w:type="dxa"/>
            <w:vMerge/>
            <w:tcBorders>
              <w:left w:val="single" w:sz="2" w:space="0" w:color="FFFFFF"/>
              <w:right w:val="single" w:sz="2" w:space="0" w:color="FFFFFF"/>
            </w:tcBorders>
            <w:shd w:val="clear" w:color="auto" w:fill="D6E3BC"/>
            <w:vAlign w:val="center"/>
          </w:tcPr>
          <w:p w:rsidR="00617421" w:rsidRPr="006E7C15" w:rsidRDefault="00617421" w:rsidP="00AB21CB"/>
        </w:tc>
        <w:tc>
          <w:tcPr>
            <w:tcW w:w="363" w:type="dxa"/>
            <w:vMerge/>
            <w:tcBorders>
              <w:left w:val="single" w:sz="2" w:space="0" w:color="FFFFFF"/>
              <w:right w:val="single" w:sz="18" w:space="0" w:color="FFFFFF"/>
            </w:tcBorders>
            <w:shd w:val="clear" w:color="auto" w:fill="D6E3BC"/>
            <w:vAlign w:val="center"/>
          </w:tcPr>
          <w:p w:rsidR="00617421" w:rsidRPr="006E7C15" w:rsidRDefault="00617421" w:rsidP="00AB21CB">
            <w:pPr>
              <w:rPr>
                <w:rFonts w:ascii="MS Mincho" w:eastAsia="MS Mincho" w:hAnsi="MS Mincho" w:cs="MS Mincho"/>
                <w:sz w:val="20"/>
              </w:rPr>
            </w:pPr>
          </w:p>
        </w:tc>
        <w:tc>
          <w:tcPr>
            <w:tcW w:w="1992" w:type="dxa"/>
            <w:gridSpan w:val="4"/>
            <w:vMerge/>
            <w:tcBorders>
              <w:left w:val="single" w:sz="2" w:space="0" w:color="FFFFFF"/>
              <w:right w:val="single" w:sz="18" w:space="0" w:color="FFFFFF"/>
            </w:tcBorders>
            <w:shd w:val="clear" w:color="auto" w:fill="FBD4B4"/>
            <w:vAlign w:val="center"/>
          </w:tcPr>
          <w:p w:rsidR="00617421" w:rsidRPr="001821B2" w:rsidRDefault="00617421" w:rsidP="00AB21CB">
            <w:pPr>
              <w:spacing w:after="120"/>
              <w:jc w:val="center"/>
              <w:rPr>
                <w:szCs w:val="22"/>
              </w:rPr>
            </w:pPr>
          </w:p>
        </w:tc>
        <w:tc>
          <w:tcPr>
            <w:tcW w:w="450" w:type="dxa"/>
            <w:vMerge/>
            <w:tcBorders>
              <w:left w:val="single" w:sz="18" w:space="0" w:color="FFFFFF"/>
              <w:right w:val="single" w:sz="2" w:space="0" w:color="FFFFFF"/>
            </w:tcBorders>
            <w:shd w:val="clear" w:color="auto" w:fill="CCC0D9"/>
            <w:vAlign w:val="center"/>
          </w:tcPr>
          <w:p w:rsidR="00617421" w:rsidRPr="006E7C15" w:rsidRDefault="00617421" w:rsidP="00AB21CB"/>
        </w:tc>
        <w:tc>
          <w:tcPr>
            <w:tcW w:w="360" w:type="dxa"/>
            <w:vMerge/>
            <w:tcBorders>
              <w:left w:val="single" w:sz="2" w:space="0" w:color="FFFFFF"/>
              <w:right w:val="single" w:sz="2" w:space="0" w:color="FFFFFF"/>
            </w:tcBorders>
            <w:shd w:val="clear" w:color="auto" w:fill="CCC0D9"/>
            <w:vAlign w:val="center"/>
          </w:tcPr>
          <w:p w:rsidR="00617421" w:rsidRPr="006E7C15" w:rsidRDefault="00617421" w:rsidP="00AB21CB"/>
        </w:tc>
        <w:tc>
          <w:tcPr>
            <w:tcW w:w="450" w:type="dxa"/>
            <w:vMerge/>
            <w:tcBorders>
              <w:left w:val="single" w:sz="2" w:space="0" w:color="FFFFFF"/>
              <w:right w:val="single" w:sz="2" w:space="0" w:color="FFFFFF"/>
            </w:tcBorders>
            <w:shd w:val="clear" w:color="auto" w:fill="CCC0D9"/>
            <w:vAlign w:val="center"/>
          </w:tcPr>
          <w:p w:rsidR="00617421" w:rsidRPr="006E7C15" w:rsidRDefault="00617421" w:rsidP="00AB21CB">
            <w:pPr>
              <w:rPr>
                <w:rFonts w:ascii="MS Mincho" w:eastAsia="MS Mincho" w:hAnsi="MS Mincho" w:cs="MS Mincho"/>
                <w:sz w:val="20"/>
              </w:rPr>
            </w:pPr>
          </w:p>
        </w:tc>
        <w:tc>
          <w:tcPr>
            <w:tcW w:w="360" w:type="dxa"/>
            <w:vMerge/>
            <w:tcBorders>
              <w:left w:val="single" w:sz="2" w:space="0" w:color="FFFFFF"/>
              <w:right w:val="single" w:sz="18" w:space="0" w:color="FFFFFF"/>
            </w:tcBorders>
            <w:shd w:val="clear" w:color="auto" w:fill="CCC0D9"/>
            <w:vAlign w:val="center"/>
          </w:tcPr>
          <w:p w:rsidR="00617421" w:rsidRPr="006E7C15" w:rsidRDefault="00617421" w:rsidP="00AB21CB"/>
        </w:tc>
        <w:tc>
          <w:tcPr>
            <w:tcW w:w="540" w:type="dxa"/>
            <w:vMerge/>
            <w:tcBorders>
              <w:left w:val="single" w:sz="18" w:space="0" w:color="FFFFFF"/>
              <w:right w:val="single" w:sz="4" w:space="0" w:color="FFFFFF" w:themeColor="background1"/>
            </w:tcBorders>
            <w:shd w:val="clear" w:color="auto" w:fill="B8CCE4"/>
            <w:vAlign w:val="center"/>
          </w:tcPr>
          <w:p w:rsidR="00617421" w:rsidRPr="006E7C15" w:rsidRDefault="00617421" w:rsidP="00AB21CB"/>
        </w:tc>
        <w:tc>
          <w:tcPr>
            <w:tcW w:w="450" w:type="dxa"/>
            <w:vMerge/>
            <w:tcBorders>
              <w:left w:val="single" w:sz="4" w:space="0" w:color="FFFFFF" w:themeColor="background1"/>
              <w:right w:val="single" w:sz="4" w:space="0" w:color="FFFFFF" w:themeColor="background1"/>
            </w:tcBorders>
            <w:shd w:val="clear" w:color="auto" w:fill="B8CCE4"/>
            <w:vAlign w:val="center"/>
          </w:tcPr>
          <w:p w:rsidR="00617421" w:rsidRPr="006E7C15" w:rsidRDefault="00617421" w:rsidP="00AB21CB"/>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AB21CB"/>
        </w:tc>
        <w:tc>
          <w:tcPr>
            <w:tcW w:w="461" w:type="dxa"/>
            <w:tcBorders>
              <w:left w:val="single" w:sz="4" w:space="0" w:color="FFFFFF" w:themeColor="background1"/>
              <w:right w:val="single" w:sz="18" w:space="0" w:color="FFFFFF"/>
            </w:tcBorders>
            <w:shd w:val="clear" w:color="auto" w:fill="B8CCE4"/>
            <w:vAlign w:val="center"/>
          </w:tcPr>
          <w:p w:rsidR="00617421" w:rsidRPr="006E7C15" w:rsidRDefault="00617421" w:rsidP="00AB21CB">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rsidR="00617421" w:rsidRPr="006E7C15" w:rsidRDefault="00617421" w:rsidP="00AB21CB"/>
        </w:tc>
        <w:tc>
          <w:tcPr>
            <w:tcW w:w="540" w:type="dxa"/>
            <w:vMerge/>
            <w:tcBorders>
              <w:left w:val="single" w:sz="2" w:space="0" w:color="FFFFFF"/>
              <w:right w:val="single" w:sz="2" w:space="0" w:color="FFFFFF"/>
            </w:tcBorders>
            <w:shd w:val="clear" w:color="auto" w:fill="D99594"/>
            <w:vAlign w:val="center"/>
          </w:tcPr>
          <w:p w:rsidR="00617421" w:rsidRPr="006E7C15" w:rsidRDefault="00617421" w:rsidP="00AB21CB">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rsidR="00617421" w:rsidRPr="006E7C15" w:rsidRDefault="00617421" w:rsidP="00AB21CB"/>
        </w:tc>
        <w:tc>
          <w:tcPr>
            <w:tcW w:w="342" w:type="dxa"/>
            <w:vMerge/>
            <w:tcBorders>
              <w:left w:val="single" w:sz="2" w:space="0" w:color="FFFFFF"/>
              <w:right w:val="single" w:sz="2" w:space="0" w:color="FFFFFF"/>
            </w:tcBorders>
            <w:shd w:val="clear" w:color="auto" w:fill="D99594"/>
            <w:vAlign w:val="center"/>
          </w:tcPr>
          <w:p w:rsidR="00617421" w:rsidRPr="006E7C15" w:rsidRDefault="00617421" w:rsidP="00AB21CB"/>
        </w:tc>
        <w:tc>
          <w:tcPr>
            <w:tcW w:w="343" w:type="dxa"/>
            <w:vMerge/>
            <w:tcBorders>
              <w:left w:val="single" w:sz="2" w:space="0" w:color="FFFFFF"/>
              <w:right w:val="single" w:sz="18" w:space="0" w:color="FFFFFF"/>
            </w:tcBorders>
            <w:shd w:val="clear" w:color="auto" w:fill="D99594"/>
          </w:tcPr>
          <w:p w:rsidR="00617421" w:rsidRPr="006E7C15" w:rsidRDefault="00617421" w:rsidP="00AB21CB"/>
        </w:tc>
      </w:tr>
    </w:tbl>
    <w:p w:rsidR="00617421" w:rsidRDefault="00617421" w:rsidP="00821026">
      <w:pPr>
        <w:spacing w:after="120"/>
        <w:rPr>
          <w:szCs w:val="22"/>
        </w:rPr>
      </w:pPr>
    </w:p>
    <w:p w:rsidR="00617421" w:rsidRPr="0010229D" w:rsidRDefault="00617421" w:rsidP="00FE5928">
      <w:pPr>
        <w:pStyle w:val="Heading3"/>
      </w:pPr>
      <w:bookmarkStart w:id="90" w:name="_Toc525759459"/>
      <w:r w:rsidRPr="0010229D">
        <w:t xml:space="preserve">Commitment </w:t>
      </w:r>
      <w:r w:rsidRPr="004B1C12">
        <w:t>A</w:t>
      </w:r>
      <w:r w:rsidRPr="0010229D">
        <w:t>im:</w:t>
      </w:r>
      <w:bookmarkEnd w:id="90"/>
    </w:p>
    <w:p w:rsidR="00617421" w:rsidRDefault="00617421" w:rsidP="00821026">
      <w:pPr>
        <w:pStyle w:val="Normalrglronly"/>
      </w:pPr>
      <w:bookmarkStart w:id="91" w:name="_Toc525759460"/>
      <w:r>
        <w:t xml:space="preserve">The Georgian National Energy and Water Supply Regulatory Commission (GNERC) </w:t>
      </w:r>
      <w:r w:rsidR="00730F82">
        <w:t xml:space="preserve">made </w:t>
      </w:r>
      <w:r>
        <w:t>a commitment to develop an internal mechanism</w:t>
      </w:r>
      <w:r w:rsidR="009B1585">
        <w:t xml:space="preserve"> to </w:t>
      </w:r>
      <w:r>
        <w:t>monitor performance of utility companies according to nine standards set out in the law “Commercial Quality Rules of Service” adopted in 2016. The commitment envisioned developing quality assurance program</w:t>
      </w:r>
      <w:r w:rsidR="009B1585">
        <w:t xml:space="preserve"> to </w:t>
      </w:r>
      <w:r>
        <w:t>ensur</w:t>
      </w:r>
      <w:r w:rsidR="009B1585">
        <w:t>e</w:t>
      </w:r>
      <w:r>
        <w:t xml:space="preserve"> a higher quality of service-provision, as well as protection of the rights of customers through monitoring and </w:t>
      </w:r>
      <w:r w:rsidR="00730F82">
        <w:t xml:space="preserve">the </w:t>
      </w:r>
      <w:r>
        <w:t xml:space="preserve">recording </w:t>
      </w:r>
      <w:r w:rsidR="00730F82">
        <w:t xml:space="preserve">of company </w:t>
      </w:r>
      <w:r>
        <w:t xml:space="preserve">violations. </w:t>
      </w:r>
    </w:p>
    <w:p w:rsidR="00617421" w:rsidRPr="0010229D" w:rsidRDefault="00617421" w:rsidP="00FE5928">
      <w:pPr>
        <w:pStyle w:val="Heading3"/>
      </w:pPr>
      <w:r w:rsidRPr="0010229D">
        <w:t>Status</w:t>
      </w:r>
      <w:bookmarkEnd w:id="91"/>
    </w:p>
    <w:p w:rsidR="00617421" w:rsidRDefault="00617421" w:rsidP="00821026">
      <w:pPr>
        <w:pStyle w:val="Normalrglronly"/>
        <w:rPr>
          <w:b/>
          <w:color w:val="000000" w:themeColor="text1"/>
        </w:rPr>
      </w:pPr>
      <w:r w:rsidRPr="004B1C12">
        <w:rPr>
          <w:b/>
        </w:rPr>
        <w:t xml:space="preserve">Midterm: </w:t>
      </w:r>
      <w:r w:rsidRPr="004B1C12">
        <w:rPr>
          <w:b/>
          <w:color w:val="000000" w:themeColor="text1"/>
        </w:rPr>
        <w:t>Substantial</w:t>
      </w:r>
    </w:p>
    <w:p w:rsidR="00617421" w:rsidRPr="00AB21CB" w:rsidRDefault="00617421" w:rsidP="00821026">
      <w:pPr>
        <w:pStyle w:val="Normalrglronly"/>
      </w:pPr>
      <w:r>
        <w:t xml:space="preserve">By the midterm, the commitment </w:t>
      </w:r>
      <w:r w:rsidR="00730F82">
        <w:t xml:space="preserve">had been </w:t>
      </w:r>
      <w:r>
        <w:t xml:space="preserve">substantially implemented. The program allowing the Commission to monitor service provision was launched in February 2017. The program consists of nine standards, against which companies are assessed, although a few of them were difficult to implement. For example, one of the standards set by GNERC is that if a company ceases utility provision due to delayed payment by the customer, the company has an obligation to resume the service within five hours once the payment is made. Otherwise, the company must pay the customer 5 GEL as compensation. As of August 2017, the GNERC had yet to implement all nine standards of envisioned by the program.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sidRPr="00796370">
        <w:rPr>
          <w:rStyle w:val="EndnoteReference"/>
          <w:color w:val="auto"/>
        </w:rPr>
        <w:t xml:space="preserve"> </w:t>
      </w:r>
      <w:r>
        <w:rPr>
          <w:rStyle w:val="EndnoteReference"/>
          <w:color w:val="auto"/>
        </w:rPr>
        <w:endnoteReference w:id="106"/>
      </w:r>
      <w:r w:rsidRPr="0010229D">
        <w:rPr>
          <w:i/>
          <w:color w:val="4F81BD" w:themeColor="accent1"/>
        </w:rPr>
        <w:t> </w:t>
      </w:r>
    </w:p>
    <w:p w:rsidR="00617421" w:rsidRPr="004B1C12"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rsidR="00617421" w:rsidRPr="00DC214A" w:rsidRDefault="00617421" w:rsidP="00821026">
      <w:pPr>
        <w:rPr>
          <w:rFonts w:eastAsiaTheme="minorHAnsi"/>
          <w:lang w:val="en-GB"/>
        </w:rPr>
      </w:pPr>
      <w:r>
        <w:rPr>
          <w:rFonts w:eastAsiaTheme="minorHAnsi"/>
          <w:lang w:val="en-GB"/>
        </w:rPr>
        <w:t>The quality assurance program is fully functional since 1 January 2017, including the compensation mechanism, which came into force in July 2017. According to the representative of the GNERC, they regularly publish information on citizen rights and their protection mechanisms, as well as information on violations by the licensees and GNERC’s response to such violations on the website and social media page of the Commission.</w:t>
      </w:r>
      <w:r>
        <w:rPr>
          <w:rStyle w:val="EndnoteReference"/>
          <w:rFonts w:eastAsiaTheme="minorHAnsi"/>
          <w:lang w:val="en-GB"/>
        </w:rPr>
        <w:endnoteReference w:id="107"/>
      </w:r>
      <w:r>
        <w:rPr>
          <w:rFonts w:eastAsiaTheme="minorHAnsi"/>
          <w:lang w:val="en-GB"/>
        </w:rPr>
        <w:t xml:space="preserve"> However, sometimes such information is published in the news section of the website, and therefore, is </w:t>
      </w:r>
      <w:r w:rsidR="000B5D3D">
        <w:rPr>
          <w:rFonts w:eastAsiaTheme="minorHAnsi"/>
          <w:lang w:val="en-GB"/>
        </w:rPr>
        <w:t xml:space="preserve">quickly </w:t>
      </w:r>
      <w:r>
        <w:rPr>
          <w:rFonts w:eastAsiaTheme="minorHAnsi"/>
          <w:lang w:val="en-GB"/>
        </w:rPr>
        <w:t xml:space="preserve">archived, which makes it difficult for the user to find it. </w:t>
      </w:r>
    </w:p>
    <w:p w:rsidR="00617421" w:rsidRPr="0093188B" w:rsidRDefault="00617421" w:rsidP="00FE5928">
      <w:pPr>
        <w:pStyle w:val="Heading3"/>
      </w:pPr>
      <w:bookmarkStart w:id="92" w:name="_Toc525759461"/>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92"/>
    </w:p>
    <w:p w:rsidR="00617421" w:rsidRPr="00C439CF" w:rsidRDefault="00617421" w:rsidP="00821026">
      <w:pPr>
        <w:rPr>
          <w:b/>
          <w:color w:val="000000" w:themeColor="text1"/>
        </w:rPr>
      </w:pPr>
      <w:r w:rsidRPr="004B1C12">
        <w:rPr>
          <w:b/>
          <w:color w:val="000000" w:themeColor="text1"/>
        </w:rPr>
        <w:t>Did Not Change</w:t>
      </w:r>
    </w:p>
    <w:p w:rsidR="00617421" w:rsidRPr="007C3C49" w:rsidRDefault="00617421" w:rsidP="00821026">
      <w:r>
        <w:t xml:space="preserve">The GNERC aimed at creating </w:t>
      </w:r>
      <w:r w:rsidR="00A9724D">
        <w:t xml:space="preserve">a </w:t>
      </w:r>
      <w:r>
        <w:t xml:space="preserve">quality assurance program, which would monitor delivery of utility services by the licensees, register violations, and react in a timely manner to ensure protection of customer rights. </w:t>
      </w:r>
      <w:r w:rsidRPr="0093188B">
        <w:t>All nine modules of the program</w:t>
      </w:r>
      <w:r>
        <w:t xml:space="preserve"> are fully functional. </w:t>
      </w:r>
      <w:r w:rsidR="00A9724D">
        <w:t>T</w:t>
      </w:r>
      <w:r>
        <w:t xml:space="preserve">he program is vital for ensuring that service delivery is in line with “Commercial Quality Rules of Service”, and thus, improves service delivery to the end-users. While GNERC publishes some information on citizen’s rights on its website, the commitment itself is internally </w:t>
      </w:r>
      <w:r w:rsidR="00402FA1">
        <w:t>focused</w:t>
      </w:r>
      <w:r>
        <w:t xml:space="preserve">, and </w:t>
      </w:r>
      <w:r w:rsidR="00453F8A">
        <w:t xml:space="preserve">did </w:t>
      </w:r>
      <w:r w:rsidR="00453F8A">
        <w:lastRenderedPageBreak/>
        <w:t>not lead to</w:t>
      </w:r>
      <w:r>
        <w:t xml:space="preserve"> increasing </w:t>
      </w:r>
      <w:r w:rsidR="00402FA1">
        <w:t xml:space="preserve">citizens’ </w:t>
      </w:r>
      <w:r>
        <w:t>access to information, nor d</w:t>
      </w:r>
      <w:r w:rsidR="00453F8A">
        <w:t>id</w:t>
      </w:r>
      <w:r>
        <w:t xml:space="preserve"> it create new mechanisms for civic participation or public accountability. </w:t>
      </w:r>
    </w:p>
    <w:p w:rsidR="00617421" w:rsidRPr="00811B4C" w:rsidRDefault="00617421" w:rsidP="00821026">
      <w:pPr>
        <w:rPr>
          <w:i/>
          <w:color w:val="4F81BD" w:themeColor="accent1"/>
        </w:rPr>
      </w:pPr>
      <w:r w:rsidRPr="004B1C12">
        <w:rPr>
          <w:i/>
          <w:noProof/>
          <w:color w:val="4F81BD" w:themeColor="accent1"/>
        </w:rPr>
        <w:drawing>
          <wp:inline distT="0" distB="0" distL="0" distR="0" wp14:anchorId="5E0DC8CB" wp14:editId="51DCF633">
            <wp:extent cx="150495" cy="69215"/>
            <wp:effectExtent l="0" t="0" r="0" b="0"/>
            <wp:docPr id="14" name="Imagen 7"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0495" cy="69215"/>
                    </a:xfrm>
                    <a:prstGeom prst="rect">
                      <a:avLst/>
                    </a:prstGeom>
                    <a:noFill/>
                    <a:ln>
                      <a:noFill/>
                    </a:ln>
                  </pic:spPr>
                </pic:pic>
              </a:graphicData>
            </a:graphic>
          </wp:inline>
        </w:drawing>
      </w:r>
    </w:p>
    <w:p w:rsidR="00617421" w:rsidRPr="004B1C12" w:rsidRDefault="00617421" w:rsidP="00FE5928">
      <w:pPr>
        <w:pStyle w:val="Heading3"/>
      </w:pPr>
      <w:bookmarkStart w:id="93" w:name="_Toc525759462"/>
      <w:r w:rsidRPr="0010229D">
        <w:t xml:space="preserve">Carried </w:t>
      </w:r>
      <w:r w:rsidRPr="004B1C12">
        <w:t>F</w:t>
      </w:r>
      <w:r w:rsidRPr="0010229D">
        <w:t>orward?</w:t>
      </w:r>
      <w:bookmarkEnd w:id="93"/>
    </w:p>
    <w:p w:rsidR="00617421" w:rsidRDefault="00A9724D" w:rsidP="00821026">
      <w:pPr>
        <w:pStyle w:val="Normalrglronly"/>
        <w:rPr>
          <w:rFonts w:eastAsiaTheme="majorEastAsia"/>
          <w:b/>
          <w:bCs/>
          <w:color w:val="1F497D" w:themeColor="text2"/>
          <w:sz w:val="26"/>
          <w:szCs w:val="26"/>
        </w:rPr>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574E1A">
        <w:rPr>
          <w:color w:val="000000" w:themeColor="text1"/>
        </w:rPr>
        <w:t>19</w:t>
      </w:r>
      <w:r>
        <w:rPr>
          <w:color w:val="000000" w:themeColor="text1"/>
        </w:rPr>
        <w:t xml:space="preserve">. </w:t>
      </w:r>
    </w:p>
    <w:p w:rsidR="00617421" w:rsidRDefault="00617421">
      <w:pPr>
        <w:tabs>
          <w:tab w:val="clear" w:pos="2880"/>
        </w:tabs>
        <w:rPr>
          <w:rFonts w:eastAsiaTheme="majorEastAsia"/>
          <w:b/>
          <w:bCs/>
          <w:color w:val="1F497D" w:themeColor="text2"/>
          <w:sz w:val="26"/>
          <w:szCs w:val="26"/>
        </w:rPr>
      </w:pPr>
      <w:r>
        <w:rPr>
          <w:rFonts w:eastAsiaTheme="majorEastAsia"/>
          <w:b/>
          <w:bCs/>
          <w:color w:val="1F497D" w:themeColor="text2"/>
          <w:sz w:val="26"/>
          <w:szCs w:val="26"/>
        </w:rPr>
        <w:br w:type="page"/>
      </w:r>
    </w:p>
    <w:p w:rsidR="00617421" w:rsidRDefault="00617421" w:rsidP="00C82219">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rsidR="00A5200D" w:rsidRDefault="00617421" w:rsidP="00C82219">
      <w:pPr>
        <w:pStyle w:val="Heading2"/>
      </w:pPr>
      <w:bookmarkStart w:id="94" w:name="_Toc409220393"/>
      <w:r w:rsidRPr="001821B2">
        <w:lastRenderedPageBreak/>
        <w:t xml:space="preserve">21. </w:t>
      </w:r>
      <w:r w:rsidR="00A5200D">
        <w:t xml:space="preserve">Presentation of company reports in an electronic form and provision of their accessibility </w:t>
      </w:r>
    </w:p>
    <w:bookmarkEnd w:id="94"/>
    <w:p w:rsidR="00617421" w:rsidRDefault="00617421" w:rsidP="00821026">
      <w:pPr>
        <w:pStyle w:val="Normalrglronly"/>
        <w:rPr>
          <w:b/>
        </w:rPr>
      </w:pPr>
      <w:r w:rsidRPr="004B1C12">
        <w:rPr>
          <w:b/>
        </w:rPr>
        <w:t>Commitment Text:</w:t>
      </w:r>
    </w:p>
    <w:p w:rsidR="00617421" w:rsidRDefault="00617421" w:rsidP="00821026">
      <w:pPr>
        <w:pStyle w:val="APQuotefeaturetol"/>
      </w:pPr>
      <w:r>
        <w:t>In the framework of this commitment, presentation of electronic reports by enterprises will allow the Georgian National Energy and Water Supply Regulatory Commission to: create a trustworthy database, conduct a multi-sided analysis of the information obtained, keep an eye on the dynamics of the enterprise indicators, monitor fulfillment of licensing conditions and in the shortest possible time to provide stakeholders with systematized information. Introduction of the electronic report system will assist companies and facilitate efficient application of the Commission administrative resources and information accessibility.</w:t>
      </w:r>
    </w:p>
    <w:p w:rsidR="00617421" w:rsidRDefault="00617421" w:rsidP="00AB21CB">
      <w:pPr>
        <w:pStyle w:val="APQuotefeaturetol"/>
      </w:pPr>
      <w:r>
        <w:t>The aim of the commitment is to create a special electronic platform of report submission by enterprises in order to ensure mobility and transparency of the mentioned process.</w:t>
      </w:r>
    </w:p>
    <w:p w:rsidR="00617421" w:rsidRPr="00B57E9C" w:rsidRDefault="00617421" w:rsidP="00821026">
      <w:pPr>
        <w:pStyle w:val="Normalrglronly"/>
      </w:pPr>
      <w:r w:rsidRPr="00B57E9C">
        <w:t>Responsible institution</w:t>
      </w:r>
      <w:r>
        <w:t>(s)</w:t>
      </w:r>
      <w:r w:rsidRPr="00B57E9C">
        <w:t>: Georgian National Energy and Water Supply Regulatory Commission</w:t>
      </w:r>
    </w:p>
    <w:p w:rsidR="00617421" w:rsidRPr="00B57E9C" w:rsidRDefault="00617421" w:rsidP="00821026">
      <w:pPr>
        <w:pStyle w:val="Normalrglronly"/>
      </w:pPr>
      <w:r w:rsidRPr="00B57E9C">
        <w:t xml:space="preserve">Supporting institution(s): </w:t>
      </w:r>
      <w:r w:rsidRPr="00B57E9C">
        <w:rPr>
          <w:noProof/>
        </w:rPr>
        <w:t>None</w:t>
      </w:r>
    </w:p>
    <w:p w:rsidR="00617421" w:rsidRPr="00AB21CB" w:rsidRDefault="00617421" w:rsidP="00AB21CB">
      <w:pPr>
        <w:spacing w:after="120"/>
        <w:rPr>
          <w:szCs w:val="22"/>
        </w:rPr>
      </w:pPr>
      <w:r w:rsidRPr="00B57E9C">
        <w:rPr>
          <w:szCs w:val="22"/>
        </w:rPr>
        <w:t>Start date: Not provided  End date: December 2017</w:t>
      </w:r>
      <w:bookmarkStart w:id="95" w:name="_Toc525759464"/>
    </w:p>
    <w:tbl>
      <w:tblPr>
        <w:tblW w:w="10971"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441"/>
        <w:gridCol w:w="459"/>
        <w:gridCol w:w="476"/>
        <w:gridCol w:w="342"/>
        <w:gridCol w:w="343"/>
      </w:tblGrid>
      <w:tr w:rsidR="00617421" w:rsidRPr="006E7C15"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17421" w:rsidRPr="006E7C15" w:rsidRDefault="00617421" w:rsidP="00821026">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17421" w:rsidRPr="006E7C15" w:rsidRDefault="00617421" w:rsidP="00821026">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617421" w:rsidRPr="006E7C15" w:rsidRDefault="00617421" w:rsidP="00821026">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17421" w:rsidRPr="006E7C15" w:rsidRDefault="00617421" w:rsidP="00821026">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617421" w:rsidRPr="006E7C15" w:rsidRDefault="00617421" w:rsidP="00821026">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617421" w:rsidRPr="006E7C15" w:rsidRDefault="00617421" w:rsidP="00821026">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17421" w:rsidRPr="006E7C15" w:rsidRDefault="00617421" w:rsidP="00821026">
            <w:r w:rsidRPr="006E7C15">
              <w:t>Did It Open Government?</w:t>
            </w:r>
          </w:p>
        </w:tc>
      </w:tr>
      <w:tr w:rsidR="00617421" w:rsidRPr="006E7C15" w:rsidTr="00E60731">
        <w:trPr>
          <w:trHeight w:val="373"/>
        </w:trPr>
        <w:tc>
          <w:tcPr>
            <w:tcW w:w="1596" w:type="dxa"/>
            <w:vMerge/>
            <w:tcBorders>
              <w:left w:val="single" w:sz="4" w:space="0" w:color="FFFFFF"/>
              <w:right w:val="single" w:sz="18" w:space="0" w:color="FFFFFF"/>
            </w:tcBorders>
            <w:shd w:val="clear" w:color="auto" w:fill="000000"/>
            <w:vAlign w:val="center"/>
          </w:tcPr>
          <w:p w:rsidR="00617421" w:rsidRPr="006E7C15" w:rsidRDefault="00617421" w:rsidP="00821026">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17421" w:rsidRPr="006E7C15" w:rsidRDefault="00617421" w:rsidP="00821026"/>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617421" w:rsidRPr="006E7C15" w:rsidRDefault="00617421" w:rsidP="00821026"/>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17421" w:rsidRPr="006E7C15" w:rsidRDefault="00617421" w:rsidP="00821026"/>
        </w:tc>
        <w:tc>
          <w:tcPr>
            <w:tcW w:w="990" w:type="dxa"/>
            <w:gridSpan w:val="2"/>
            <w:vMerge/>
            <w:tcBorders>
              <w:left w:val="single" w:sz="18" w:space="0" w:color="FFFFFF"/>
              <w:bottom w:val="single" w:sz="18" w:space="0" w:color="FFFFFF"/>
              <w:right w:val="single" w:sz="2" w:space="0" w:color="FFFFFF"/>
            </w:tcBorders>
            <w:shd w:val="clear" w:color="auto" w:fill="B8CCE4"/>
          </w:tcPr>
          <w:p w:rsidR="00617421" w:rsidRPr="006E7C15" w:rsidRDefault="00617421" w:rsidP="00821026"/>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617421" w:rsidRPr="006E7C15" w:rsidRDefault="00617421" w:rsidP="00821026">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17421" w:rsidRPr="006E7C15" w:rsidRDefault="00617421" w:rsidP="00821026"/>
        </w:tc>
      </w:tr>
      <w:tr w:rsidR="00617421" w:rsidRPr="006E7C15"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17421" w:rsidRPr="006E7C15" w:rsidRDefault="00617421" w:rsidP="00821026">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17421" w:rsidRPr="006E7C15" w:rsidRDefault="00617421" w:rsidP="00821026">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821026">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17421" w:rsidRPr="006E7C15" w:rsidRDefault="00617421" w:rsidP="00821026">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17421" w:rsidRPr="006E7C15" w:rsidRDefault="00617421" w:rsidP="00821026">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821026">
            <w:r w:rsidRPr="006E7C15">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821026">
            <w:r w:rsidRPr="006E7C15">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17421" w:rsidRPr="006E7C15" w:rsidRDefault="00617421" w:rsidP="00821026">
            <w:r w:rsidRPr="006E7C15">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17421" w:rsidRPr="006E7C15" w:rsidRDefault="00617421" w:rsidP="00821026">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17421" w:rsidRPr="006E7C15" w:rsidRDefault="00617421" w:rsidP="00821026">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821026">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17421" w:rsidRPr="006E7C15" w:rsidRDefault="00617421" w:rsidP="00821026">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17421" w:rsidRPr="006E7C15" w:rsidRDefault="00617421" w:rsidP="00821026">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17421" w:rsidRPr="006E7C15" w:rsidRDefault="00617421" w:rsidP="00821026">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821026">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17421" w:rsidRPr="006E7C15" w:rsidRDefault="00617421" w:rsidP="00821026">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17421" w:rsidRPr="006E7C15" w:rsidRDefault="00617421" w:rsidP="00821026">
            <w:r w:rsidRPr="006E7C15">
              <w:t>Completed</w:t>
            </w:r>
          </w:p>
        </w:tc>
        <w:tc>
          <w:tcPr>
            <w:tcW w:w="441"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17421" w:rsidRPr="006E7C15" w:rsidRDefault="00617421" w:rsidP="00821026">
            <w:r w:rsidRPr="006E7C15">
              <w:t>Worsened</w:t>
            </w:r>
          </w:p>
        </w:tc>
        <w:tc>
          <w:tcPr>
            <w:tcW w:w="459"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821026">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821026">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17421" w:rsidRPr="006E7C15" w:rsidRDefault="00617421" w:rsidP="00821026">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17421" w:rsidRPr="006E7C15" w:rsidRDefault="00617421" w:rsidP="00821026">
            <w:r w:rsidRPr="006E7C15">
              <w:t>Outstanding</w:t>
            </w:r>
          </w:p>
        </w:tc>
      </w:tr>
      <w:tr w:rsidR="00617421" w:rsidRPr="006E7C15" w:rsidTr="00E60731">
        <w:trPr>
          <w:trHeight w:val="1095"/>
        </w:trPr>
        <w:tc>
          <w:tcPr>
            <w:tcW w:w="1596" w:type="dxa"/>
            <w:vMerge w:val="restart"/>
            <w:tcBorders>
              <w:top w:val="single" w:sz="18" w:space="0" w:color="FFFFFF"/>
              <w:left w:val="single" w:sz="4" w:space="0" w:color="FFFFFF"/>
            </w:tcBorders>
            <w:shd w:val="clear" w:color="auto" w:fill="000000"/>
            <w:vAlign w:val="center"/>
          </w:tcPr>
          <w:p w:rsidR="00617421" w:rsidRPr="006E7C15" w:rsidRDefault="00617421" w:rsidP="00821026">
            <w:pPr>
              <w:rPr>
                <w:color w:val="FFFFFF" w:themeColor="background1"/>
              </w:rPr>
            </w:pPr>
            <w:r w:rsidRPr="001821B2">
              <w:rPr>
                <w:color w:val="FFFFFF" w:themeColor="background1"/>
              </w:rPr>
              <w:t xml:space="preserve">21. </w:t>
            </w:r>
            <w:r w:rsidR="00EB68A3">
              <w:rPr>
                <w:color w:val="FFFFFF" w:themeColor="background1"/>
              </w:rPr>
              <w:t>Presentation of company reports</w:t>
            </w:r>
          </w:p>
        </w:tc>
        <w:tc>
          <w:tcPr>
            <w:tcW w:w="445" w:type="dxa"/>
            <w:vMerge w:val="restart"/>
            <w:tcBorders>
              <w:top w:val="single" w:sz="18" w:space="0" w:color="FFFFFF"/>
              <w:right w:val="single" w:sz="2" w:space="0" w:color="FFFFFF"/>
            </w:tcBorders>
            <w:shd w:val="clear" w:color="auto" w:fill="D6E3BC"/>
            <w:vAlign w:val="center"/>
          </w:tcPr>
          <w:p w:rsidR="00617421" w:rsidRPr="006E7C15" w:rsidRDefault="00617421" w:rsidP="00821026"/>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821026"/>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17421" w:rsidRPr="006E7C15" w:rsidRDefault="00617421" w:rsidP="00821026"/>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617421" w:rsidRPr="006E7C15" w:rsidRDefault="00617421" w:rsidP="00821026">
            <w:r w:rsidRPr="006E7C15">
              <w:rPr>
                <w:rFonts w:ascii="MS Mincho" w:eastAsia="MS Mincho" w:hAnsi="MS Mincho" w:cs="MS Mincho"/>
                <w:sz w:val="20"/>
              </w:rPr>
              <w:t>✔</w:t>
            </w:r>
          </w:p>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rsidR="00617421" w:rsidRPr="001821B2" w:rsidRDefault="00617421" w:rsidP="00821026">
            <w:pPr>
              <w:jc w:val="center"/>
              <w:rPr>
                <w:color w:val="auto"/>
                <w:szCs w:val="22"/>
              </w:rPr>
            </w:pPr>
            <w:r w:rsidRPr="001821B2">
              <w:rPr>
                <w:color w:val="auto"/>
                <w:szCs w:val="22"/>
              </w:rP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617421" w:rsidRPr="006E7C15" w:rsidRDefault="00617421" w:rsidP="00821026"/>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821026"/>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17421" w:rsidRPr="006E7C15" w:rsidRDefault="00617421" w:rsidP="00821026">
            <w:r w:rsidRPr="006E7C15">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617421" w:rsidRPr="006E7C15" w:rsidRDefault="00617421" w:rsidP="00821026"/>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617421" w:rsidRPr="006E7C15" w:rsidRDefault="00617421" w:rsidP="00821026"/>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821026"/>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617421" w:rsidRPr="006E7C15" w:rsidRDefault="00617421" w:rsidP="00821026"/>
        </w:tc>
        <w:tc>
          <w:tcPr>
            <w:tcW w:w="461" w:type="dxa"/>
            <w:tcBorders>
              <w:top w:val="single" w:sz="18" w:space="0" w:color="FFFFFF"/>
              <w:left w:val="single" w:sz="4" w:space="0" w:color="FFFFFF" w:themeColor="background1"/>
              <w:bottom w:val="single" w:sz="18" w:space="0" w:color="FFFFFF"/>
              <w:right w:val="single" w:sz="18" w:space="0" w:color="FFFFFF"/>
            </w:tcBorders>
            <w:shd w:val="clear" w:color="auto" w:fill="B8CCE4"/>
            <w:vAlign w:val="center"/>
          </w:tcPr>
          <w:p w:rsidR="00617421" w:rsidRPr="006E7C15" w:rsidRDefault="00617421" w:rsidP="00821026">
            <w:r w:rsidRPr="006E7C15">
              <w:rPr>
                <w:rFonts w:ascii="MS Mincho" w:eastAsia="MS Mincho" w:hAnsi="MS Mincho" w:cs="MS Mincho"/>
                <w:sz w:val="20"/>
              </w:rPr>
              <w:t>✔</w:t>
            </w:r>
          </w:p>
        </w:tc>
        <w:tc>
          <w:tcPr>
            <w:tcW w:w="441" w:type="dxa"/>
            <w:vMerge w:val="restart"/>
            <w:tcBorders>
              <w:top w:val="single" w:sz="18" w:space="0" w:color="FFFFFF"/>
              <w:left w:val="single" w:sz="18" w:space="0" w:color="FFFFFF"/>
              <w:right w:val="single" w:sz="2" w:space="0" w:color="FFFFFF"/>
            </w:tcBorders>
            <w:shd w:val="clear" w:color="auto" w:fill="D99594"/>
            <w:vAlign w:val="center"/>
          </w:tcPr>
          <w:p w:rsidR="00617421" w:rsidRPr="006E7C15" w:rsidRDefault="00617421" w:rsidP="00821026"/>
        </w:tc>
        <w:tc>
          <w:tcPr>
            <w:tcW w:w="459"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821026">
            <w:r w:rsidRPr="006E7C15">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821026"/>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617421" w:rsidRPr="006E7C15" w:rsidRDefault="00617421" w:rsidP="00821026"/>
        </w:tc>
        <w:tc>
          <w:tcPr>
            <w:tcW w:w="343" w:type="dxa"/>
            <w:vMerge w:val="restart"/>
            <w:tcBorders>
              <w:top w:val="single" w:sz="18" w:space="0" w:color="FFFFFF"/>
              <w:left w:val="single" w:sz="2" w:space="0" w:color="FFFFFF"/>
              <w:right w:val="single" w:sz="18" w:space="0" w:color="FFFFFF"/>
            </w:tcBorders>
            <w:shd w:val="clear" w:color="auto" w:fill="D99594"/>
          </w:tcPr>
          <w:p w:rsidR="00617421" w:rsidRPr="006E7C15" w:rsidRDefault="00617421" w:rsidP="00821026"/>
        </w:tc>
      </w:tr>
      <w:tr w:rsidR="00617421" w:rsidRPr="006E7C15" w:rsidTr="00E60731">
        <w:trPr>
          <w:trHeight w:val="1094"/>
        </w:trPr>
        <w:tc>
          <w:tcPr>
            <w:tcW w:w="1596" w:type="dxa"/>
            <w:vMerge/>
            <w:tcBorders>
              <w:left w:val="single" w:sz="4" w:space="0" w:color="FFFFFF"/>
            </w:tcBorders>
            <w:shd w:val="clear" w:color="auto" w:fill="000000"/>
            <w:vAlign w:val="center"/>
          </w:tcPr>
          <w:p w:rsidR="00617421" w:rsidRPr="001821B2" w:rsidRDefault="00617421" w:rsidP="00821026">
            <w:pPr>
              <w:rPr>
                <w:color w:val="FFFFFF" w:themeColor="background1"/>
              </w:rPr>
            </w:pPr>
          </w:p>
        </w:tc>
        <w:tc>
          <w:tcPr>
            <w:tcW w:w="445" w:type="dxa"/>
            <w:vMerge/>
            <w:tcBorders>
              <w:right w:val="single" w:sz="2" w:space="0" w:color="FFFFFF"/>
            </w:tcBorders>
            <w:shd w:val="clear" w:color="auto" w:fill="D6E3BC"/>
            <w:vAlign w:val="center"/>
          </w:tcPr>
          <w:p w:rsidR="00617421" w:rsidRPr="006E7C15" w:rsidRDefault="00617421" w:rsidP="00821026"/>
        </w:tc>
        <w:tc>
          <w:tcPr>
            <w:tcW w:w="451" w:type="dxa"/>
            <w:vMerge/>
            <w:tcBorders>
              <w:left w:val="single" w:sz="2" w:space="0" w:color="FFFFFF"/>
              <w:right w:val="single" w:sz="2" w:space="0" w:color="FFFFFF"/>
            </w:tcBorders>
            <w:shd w:val="clear" w:color="auto" w:fill="D6E3BC"/>
            <w:vAlign w:val="center"/>
          </w:tcPr>
          <w:p w:rsidR="00617421" w:rsidRPr="006E7C15" w:rsidRDefault="00617421" w:rsidP="00821026"/>
        </w:tc>
        <w:tc>
          <w:tcPr>
            <w:tcW w:w="362" w:type="dxa"/>
            <w:vMerge/>
            <w:tcBorders>
              <w:left w:val="single" w:sz="2" w:space="0" w:color="FFFFFF"/>
              <w:right w:val="single" w:sz="2" w:space="0" w:color="FFFFFF"/>
            </w:tcBorders>
            <w:shd w:val="clear" w:color="auto" w:fill="D6E3BC"/>
            <w:vAlign w:val="center"/>
          </w:tcPr>
          <w:p w:rsidR="00617421" w:rsidRPr="006E7C15" w:rsidRDefault="00617421" w:rsidP="00821026"/>
        </w:tc>
        <w:tc>
          <w:tcPr>
            <w:tcW w:w="363" w:type="dxa"/>
            <w:vMerge/>
            <w:tcBorders>
              <w:left w:val="single" w:sz="2" w:space="0" w:color="FFFFFF"/>
              <w:right w:val="single" w:sz="18" w:space="0" w:color="FFFFFF"/>
            </w:tcBorders>
            <w:shd w:val="clear" w:color="auto" w:fill="D6E3BC"/>
            <w:vAlign w:val="center"/>
          </w:tcPr>
          <w:p w:rsidR="00617421" w:rsidRPr="006E7C15" w:rsidRDefault="00617421" w:rsidP="00821026">
            <w:pPr>
              <w:rPr>
                <w:rFonts w:ascii="MS Mincho" w:eastAsia="MS Mincho" w:hAnsi="MS Mincho" w:cs="MS Mincho"/>
                <w:sz w:val="20"/>
              </w:rPr>
            </w:pPr>
          </w:p>
        </w:tc>
        <w:tc>
          <w:tcPr>
            <w:tcW w:w="1992" w:type="dxa"/>
            <w:gridSpan w:val="4"/>
            <w:vMerge/>
            <w:tcBorders>
              <w:left w:val="single" w:sz="2" w:space="0" w:color="FFFFFF"/>
              <w:right w:val="single" w:sz="18" w:space="0" w:color="FFFFFF"/>
            </w:tcBorders>
            <w:shd w:val="clear" w:color="auto" w:fill="FBD4B4"/>
            <w:vAlign w:val="center"/>
          </w:tcPr>
          <w:p w:rsidR="00617421" w:rsidRPr="001821B2" w:rsidRDefault="00617421" w:rsidP="00821026">
            <w:pPr>
              <w:jc w:val="center"/>
              <w:rPr>
                <w:color w:val="auto"/>
                <w:szCs w:val="22"/>
              </w:rPr>
            </w:pPr>
          </w:p>
        </w:tc>
        <w:tc>
          <w:tcPr>
            <w:tcW w:w="450" w:type="dxa"/>
            <w:vMerge/>
            <w:tcBorders>
              <w:left w:val="single" w:sz="18" w:space="0" w:color="FFFFFF"/>
              <w:right w:val="single" w:sz="2" w:space="0" w:color="FFFFFF"/>
            </w:tcBorders>
            <w:shd w:val="clear" w:color="auto" w:fill="CCC0D9"/>
            <w:vAlign w:val="center"/>
          </w:tcPr>
          <w:p w:rsidR="00617421" w:rsidRPr="006E7C15" w:rsidRDefault="00617421" w:rsidP="00821026"/>
        </w:tc>
        <w:tc>
          <w:tcPr>
            <w:tcW w:w="360" w:type="dxa"/>
            <w:vMerge/>
            <w:tcBorders>
              <w:left w:val="single" w:sz="2" w:space="0" w:color="FFFFFF"/>
              <w:right w:val="single" w:sz="2" w:space="0" w:color="FFFFFF"/>
            </w:tcBorders>
            <w:shd w:val="clear" w:color="auto" w:fill="CCC0D9"/>
            <w:vAlign w:val="center"/>
          </w:tcPr>
          <w:p w:rsidR="00617421" w:rsidRPr="006E7C15" w:rsidRDefault="00617421" w:rsidP="00821026"/>
        </w:tc>
        <w:tc>
          <w:tcPr>
            <w:tcW w:w="450" w:type="dxa"/>
            <w:vMerge/>
            <w:tcBorders>
              <w:left w:val="single" w:sz="2" w:space="0" w:color="FFFFFF"/>
              <w:right w:val="single" w:sz="2" w:space="0" w:color="FFFFFF"/>
            </w:tcBorders>
            <w:shd w:val="clear" w:color="auto" w:fill="CCC0D9"/>
            <w:vAlign w:val="center"/>
          </w:tcPr>
          <w:p w:rsidR="00617421" w:rsidRPr="006E7C15" w:rsidRDefault="00617421" w:rsidP="00821026">
            <w:pPr>
              <w:rPr>
                <w:rFonts w:ascii="MS Mincho" w:eastAsia="MS Mincho" w:hAnsi="MS Mincho" w:cs="MS Mincho"/>
                <w:sz w:val="20"/>
              </w:rPr>
            </w:pPr>
          </w:p>
        </w:tc>
        <w:tc>
          <w:tcPr>
            <w:tcW w:w="360" w:type="dxa"/>
            <w:vMerge/>
            <w:tcBorders>
              <w:left w:val="single" w:sz="2" w:space="0" w:color="FFFFFF"/>
              <w:right w:val="single" w:sz="18" w:space="0" w:color="FFFFFF"/>
            </w:tcBorders>
            <w:shd w:val="clear" w:color="auto" w:fill="CCC0D9"/>
            <w:vAlign w:val="center"/>
          </w:tcPr>
          <w:p w:rsidR="00617421" w:rsidRPr="006E7C15" w:rsidRDefault="00617421" w:rsidP="00821026"/>
        </w:tc>
        <w:tc>
          <w:tcPr>
            <w:tcW w:w="540" w:type="dxa"/>
            <w:vMerge/>
            <w:tcBorders>
              <w:left w:val="single" w:sz="18" w:space="0" w:color="FFFFFF"/>
              <w:right w:val="single" w:sz="4" w:space="0" w:color="FFFFFF" w:themeColor="background1"/>
            </w:tcBorders>
            <w:shd w:val="clear" w:color="auto" w:fill="B8CCE4"/>
            <w:vAlign w:val="center"/>
          </w:tcPr>
          <w:p w:rsidR="00617421" w:rsidRPr="006E7C15" w:rsidRDefault="00617421" w:rsidP="00821026"/>
        </w:tc>
        <w:tc>
          <w:tcPr>
            <w:tcW w:w="450" w:type="dxa"/>
            <w:vMerge/>
            <w:tcBorders>
              <w:left w:val="single" w:sz="4" w:space="0" w:color="FFFFFF" w:themeColor="background1"/>
              <w:right w:val="single" w:sz="4" w:space="0" w:color="FFFFFF" w:themeColor="background1"/>
            </w:tcBorders>
            <w:shd w:val="clear" w:color="auto" w:fill="B8CCE4"/>
            <w:vAlign w:val="center"/>
          </w:tcPr>
          <w:p w:rsidR="00617421" w:rsidRPr="006E7C15" w:rsidRDefault="00617421" w:rsidP="00821026"/>
        </w:tc>
        <w:tc>
          <w:tcPr>
            <w:tcW w:w="630" w:type="dxa"/>
            <w:vMerge/>
            <w:tcBorders>
              <w:left w:val="single" w:sz="4" w:space="0" w:color="FFFFFF" w:themeColor="background1"/>
              <w:right w:val="single" w:sz="4" w:space="0" w:color="FFFFFF" w:themeColor="background1"/>
            </w:tcBorders>
            <w:shd w:val="clear" w:color="auto" w:fill="B8CCE4"/>
            <w:vAlign w:val="center"/>
          </w:tcPr>
          <w:p w:rsidR="00617421" w:rsidRPr="006E7C15" w:rsidRDefault="00617421" w:rsidP="00821026"/>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617421" w:rsidRPr="006E7C15" w:rsidRDefault="00617421" w:rsidP="00821026">
            <w:pPr>
              <w:rPr>
                <w:rFonts w:ascii="MS Mincho" w:eastAsia="MS Mincho" w:hAnsi="MS Mincho" w:cs="MS Mincho"/>
                <w:sz w:val="20"/>
              </w:rPr>
            </w:pPr>
            <w:r w:rsidRPr="0010229D">
              <w:rPr>
                <w:rFonts w:ascii="MS Mincho" w:eastAsia="MS Mincho" w:hAnsi="MS Mincho" w:cs="MS Mincho"/>
                <w:sz w:val="20"/>
              </w:rPr>
              <w:t>✔</w:t>
            </w:r>
          </w:p>
        </w:tc>
        <w:tc>
          <w:tcPr>
            <w:tcW w:w="441" w:type="dxa"/>
            <w:vMerge/>
            <w:tcBorders>
              <w:left w:val="single" w:sz="18" w:space="0" w:color="FFFFFF"/>
              <w:right w:val="single" w:sz="2" w:space="0" w:color="FFFFFF"/>
            </w:tcBorders>
            <w:shd w:val="clear" w:color="auto" w:fill="D99594"/>
            <w:vAlign w:val="center"/>
          </w:tcPr>
          <w:p w:rsidR="00617421" w:rsidRPr="006E7C15" w:rsidRDefault="00617421" w:rsidP="00821026"/>
        </w:tc>
        <w:tc>
          <w:tcPr>
            <w:tcW w:w="459" w:type="dxa"/>
            <w:vMerge/>
            <w:tcBorders>
              <w:left w:val="single" w:sz="2" w:space="0" w:color="FFFFFF"/>
              <w:right w:val="single" w:sz="2" w:space="0" w:color="FFFFFF"/>
            </w:tcBorders>
            <w:shd w:val="clear" w:color="auto" w:fill="D99594"/>
            <w:vAlign w:val="center"/>
          </w:tcPr>
          <w:p w:rsidR="00617421" w:rsidRPr="006E7C15" w:rsidRDefault="00617421" w:rsidP="00821026">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rsidR="00617421" w:rsidRPr="006E7C15" w:rsidRDefault="00617421" w:rsidP="00821026"/>
        </w:tc>
        <w:tc>
          <w:tcPr>
            <w:tcW w:w="342" w:type="dxa"/>
            <w:vMerge/>
            <w:tcBorders>
              <w:left w:val="single" w:sz="2" w:space="0" w:color="FFFFFF"/>
              <w:right w:val="single" w:sz="2" w:space="0" w:color="FFFFFF"/>
            </w:tcBorders>
            <w:shd w:val="clear" w:color="auto" w:fill="D99594"/>
            <w:vAlign w:val="center"/>
          </w:tcPr>
          <w:p w:rsidR="00617421" w:rsidRPr="006E7C15" w:rsidRDefault="00617421" w:rsidP="00821026"/>
        </w:tc>
        <w:tc>
          <w:tcPr>
            <w:tcW w:w="343" w:type="dxa"/>
            <w:vMerge/>
            <w:tcBorders>
              <w:left w:val="single" w:sz="2" w:space="0" w:color="FFFFFF"/>
              <w:right w:val="single" w:sz="18" w:space="0" w:color="FFFFFF"/>
            </w:tcBorders>
            <w:shd w:val="clear" w:color="auto" w:fill="D99594"/>
          </w:tcPr>
          <w:p w:rsidR="00617421" w:rsidRPr="006E7C15" w:rsidRDefault="00617421" w:rsidP="00821026"/>
        </w:tc>
      </w:tr>
    </w:tbl>
    <w:p w:rsidR="00617421" w:rsidRPr="0010229D" w:rsidRDefault="00617421" w:rsidP="00FE5928">
      <w:pPr>
        <w:pStyle w:val="Heading3"/>
      </w:pPr>
      <w:r w:rsidRPr="0010229D">
        <w:t xml:space="preserve">Commitment </w:t>
      </w:r>
      <w:r w:rsidRPr="004B1C12">
        <w:t>A</w:t>
      </w:r>
      <w:r w:rsidRPr="0010229D">
        <w:t>im:</w:t>
      </w:r>
      <w:bookmarkEnd w:id="95"/>
    </w:p>
    <w:p w:rsidR="00617421" w:rsidRDefault="00617421" w:rsidP="00821026">
      <w:pPr>
        <w:pStyle w:val="Normalrglronly"/>
      </w:pPr>
      <w:bookmarkStart w:id="96" w:name="_Toc525759465"/>
      <w:r>
        <w:t xml:space="preserve">The Georgian National Energy and Water Supply Regulatory Commission (GNERC) </w:t>
      </w:r>
      <w:r w:rsidR="00F208C8">
        <w:t xml:space="preserve">made </w:t>
      </w:r>
      <w:r>
        <w:t>a commitment to introduce a normative act, which would allow submitting company reports electronically from the licensees. The GNERC wanted to address the difficulty of systematization of information submitted by companies since reports were submitted in hard copy. Electronic submission of the documents would simplify systematization of the information submitted, as well as allow more efficient data analysis.</w:t>
      </w:r>
    </w:p>
    <w:p w:rsidR="00617421" w:rsidRPr="0010229D" w:rsidRDefault="00617421" w:rsidP="00FE5928">
      <w:pPr>
        <w:pStyle w:val="Heading3"/>
      </w:pPr>
      <w:r w:rsidRPr="0010229D">
        <w:lastRenderedPageBreak/>
        <w:t>Status</w:t>
      </w:r>
      <w:bookmarkEnd w:id="96"/>
    </w:p>
    <w:p w:rsidR="00617421" w:rsidRPr="004B1C12" w:rsidRDefault="00617421" w:rsidP="00821026">
      <w:pPr>
        <w:pStyle w:val="Normalrglronly"/>
        <w:rPr>
          <w:b/>
        </w:rPr>
      </w:pPr>
      <w:r w:rsidRPr="004B1C12">
        <w:rPr>
          <w:b/>
        </w:rPr>
        <w:t xml:space="preserve">Midterm: </w:t>
      </w:r>
      <w:r w:rsidRPr="004B1C12">
        <w:rPr>
          <w:b/>
          <w:color w:val="000000" w:themeColor="text1"/>
        </w:rPr>
        <w:t>Complete</w:t>
      </w:r>
    </w:p>
    <w:p w:rsidR="00617421" w:rsidRPr="007F6A46" w:rsidRDefault="00617421" w:rsidP="00821026">
      <w:pPr>
        <w:pStyle w:val="Normalrglronly"/>
      </w:pPr>
      <w:r>
        <w:t xml:space="preserve">By the midterm, the commitment </w:t>
      </w:r>
      <w:r w:rsidR="00F208C8">
        <w:t xml:space="preserve">had been </w:t>
      </w:r>
      <w:r>
        <w:t xml:space="preserve">fully implemented. The electronic platform for submission of company reports was launched in January 2017. GNERC adopted necessary normative acts to set electronic report submission by licensees. According to the representative of GNERC, the system for electronic report submission was fully functional, and companies could submit their quarterly and yearly reports in electronic format. However, up until July 2018, the companies still had to submit hard copies as well, before Law of Georgia on Electronic Documents and Reliable Electronic Service-Provision came into force.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Pr>
          <w:rStyle w:val="EndnoteReference"/>
          <w:color w:val="auto"/>
        </w:rPr>
        <w:endnoteReference w:id="108"/>
      </w:r>
      <w:r w:rsidRPr="0010229D">
        <w:rPr>
          <w:i/>
          <w:color w:val="4F81BD" w:themeColor="accent1"/>
        </w:rPr>
        <w:t> </w:t>
      </w:r>
    </w:p>
    <w:p w:rsidR="00617421" w:rsidRPr="004B1C12"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rsidR="00821026" w:rsidRDefault="00C4609C" w:rsidP="00821026">
      <w:pPr>
        <w:rPr>
          <w:sz w:val="18"/>
        </w:rPr>
      </w:pPr>
      <w:r>
        <w:t xml:space="preserve">The </w:t>
      </w:r>
      <w:r w:rsidR="00617421">
        <w:t>Law of Georgia on Electronic Documents and Reliable Electronic Service-Provision came into force in July 2018, which means that GNERC can officially accept company reports in electronic form.</w:t>
      </w:r>
      <w:r w:rsidR="00617421">
        <w:rPr>
          <w:rStyle w:val="EndnoteReference"/>
        </w:rPr>
        <w:endnoteReference w:id="109"/>
      </w:r>
      <w:r w:rsidR="00617421">
        <w:t xml:space="preserve"> </w:t>
      </w:r>
    </w:p>
    <w:p w:rsidR="00821026" w:rsidRPr="003240DE" w:rsidRDefault="00821026" w:rsidP="00FE5928">
      <w:pPr>
        <w:pStyle w:val="Heading3"/>
        <w:rPr>
          <w:rFonts w:ascii="Sylfaen" w:hAnsi="Sylfaen"/>
          <w:lang w:val="ka-GE"/>
        </w:rPr>
      </w:pPr>
      <w:bookmarkStart w:id="97" w:name="_Toc525759466"/>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97"/>
    </w:p>
    <w:p w:rsidR="00C439CF" w:rsidRDefault="00C439CF" w:rsidP="00C439CF">
      <w:pPr>
        <w:rPr>
          <w:b/>
          <w:color w:val="000000" w:themeColor="text1"/>
        </w:rPr>
      </w:pPr>
      <w:r w:rsidRPr="004B1C12">
        <w:rPr>
          <w:b/>
          <w:color w:val="000000" w:themeColor="text1"/>
        </w:rPr>
        <w:t>Did Not Change</w:t>
      </w:r>
    </w:p>
    <w:p w:rsidR="00821026" w:rsidRPr="004B1C12" w:rsidRDefault="00821026" w:rsidP="00821026"/>
    <w:p w:rsidR="00821026" w:rsidRPr="000A4283" w:rsidRDefault="00821026" w:rsidP="00821026">
      <w:pPr>
        <w:rPr>
          <w:color w:val="auto"/>
        </w:rPr>
      </w:pPr>
      <w:r w:rsidRPr="000A4283">
        <w:rPr>
          <w:color w:val="auto"/>
        </w:rPr>
        <w:t xml:space="preserve">The GNERC changed regulations to allow electronic submissions of company reports, which </w:t>
      </w:r>
      <w:r>
        <w:rPr>
          <w:color w:val="auto"/>
        </w:rPr>
        <w:t>enables more</w:t>
      </w:r>
      <w:r w:rsidRPr="000A4283">
        <w:rPr>
          <w:color w:val="auto"/>
        </w:rPr>
        <w:t xml:space="preserve"> timely systematizati</w:t>
      </w:r>
      <w:r>
        <w:rPr>
          <w:color w:val="auto"/>
        </w:rPr>
        <w:t xml:space="preserve">on of the data and more efficient </w:t>
      </w:r>
      <w:r w:rsidRPr="000A4283">
        <w:rPr>
          <w:color w:val="auto"/>
        </w:rPr>
        <w:t>data analysis. The commitment was a big step forward in optimizing internal processes of the GNERC. However, the initiative is fully internally oriented and does not</w:t>
      </w:r>
      <w:r w:rsidR="00A5200D">
        <w:rPr>
          <w:color w:val="auto"/>
        </w:rPr>
        <w:t xml:space="preserve"> publicly </w:t>
      </w:r>
      <w:r>
        <w:rPr>
          <w:color w:val="auto"/>
        </w:rPr>
        <w:t>disclos</w:t>
      </w:r>
      <w:r w:rsidR="00A5200D">
        <w:rPr>
          <w:color w:val="auto"/>
        </w:rPr>
        <w:t>e</w:t>
      </w:r>
      <w:r>
        <w:rPr>
          <w:color w:val="auto"/>
        </w:rPr>
        <w:t xml:space="preserve"> more information</w:t>
      </w:r>
      <w:r w:rsidR="00A5200D">
        <w:rPr>
          <w:color w:val="auto"/>
        </w:rPr>
        <w:t xml:space="preserve">. </w:t>
      </w:r>
    </w:p>
    <w:p w:rsidR="00821026" w:rsidRPr="00811B4C" w:rsidRDefault="00821026" w:rsidP="00821026">
      <w:pPr>
        <w:rPr>
          <w:i/>
          <w:color w:val="4F81BD" w:themeColor="accent1"/>
        </w:rPr>
      </w:pPr>
      <w:r w:rsidRPr="004B1C12">
        <w:rPr>
          <w:i/>
          <w:noProof/>
          <w:color w:val="4F81BD" w:themeColor="accent1"/>
        </w:rPr>
        <w:drawing>
          <wp:inline distT="0" distB="0" distL="0" distR="0" wp14:anchorId="24DDF64B" wp14:editId="723E6712">
            <wp:extent cx="150495" cy="69215"/>
            <wp:effectExtent l="0" t="0" r="0" b="0"/>
            <wp:docPr id="17" name="Imagen 7"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0495" cy="69215"/>
                    </a:xfrm>
                    <a:prstGeom prst="rect">
                      <a:avLst/>
                    </a:prstGeom>
                    <a:noFill/>
                    <a:ln>
                      <a:noFill/>
                    </a:ln>
                  </pic:spPr>
                </pic:pic>
              </a:graphicData>
            </a:graphic>
          </wp:inline>
        </w:drawing>
      </w:r>
    </w:p>
    <w:p w:rsidR="00821026" w:rsidRPr="004B1C12" w:rsidRDefault="00821026" w:rsidP="00FE5928">
      <w:pPr>
        <w:pStyle w:val="Heading3"/>
      </w:pPr>
      <w:bookmarkStart w:id="98" w:name="_Toc525759467"/>
      <w:r w:rsidRPr="0010229D">
        <w:t xml:space="preserve">Carried </w:t>
      </w:r>
      <w:r w:rsidRPr="004B1C12">
        <w:t>F</w:t>
      </w:r>
      <w:r w:rsidRPr="0010229D">
        <w:t>orward?</w:t>
      </w:r>
      <w:bookmarkEnd w:id="98"/>
    </w:p>
    <w:p w:rsidR="00C4609C" w:rsidRDefault="00C4609C" w:rsidP="00744DF0">
      <w:pPr>
        <w:pStyle w:val="Normalrglronly"/>
        <w:sectPr w:rsidR="00C4609C"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574E1A">
        <w:rPr>
          <w:color w:val="000000" w:themeColor="text1"/>
        </w:rPr>
        <w:t>19</w:t>
      </w:r>
      <w:r>
        <w:rPr>
          <w:color w:val="000000" w:themeColor="text1"/>
        </w:rPr>
        <w:t>.</w:t>
      </w:r>
    </w:p>
    <w:p w:rsidR="003F30AE" w:rsidRPr="00A5200D" w:rsidRDefault="003F30AE" w:rsidP="003F30AE">
      <w:pPr>
        <w:pStyle w:val="Heading1"/>
        <w:rPr>
          <w:sz w:val="26"/>
          <w:szCs w:val="26"/>
        </w:rPr>
      </w:pPr>
      <w:bookmarkStart w:id="99" w:name="_Toc530910742"/>
      <w:bookmarkStart w:id="100" w:name="_Toc409220394"/>
      <w:r w:rsidRPr="00A5200D">
        <w:rPr>
          <w:sz w:val="26"/>
          <w:szCs w:val="26"/>
        </w:rPr>
        <w:lastRenderedPageBreak/>
        <w:t>22. Introduction of an electronic petition portal and “Zugdidi- INFO” on the webpage of Zugdidi Municipality Assembly</w:t>
      </w:r>
      <w:bookmarkEnd w:id="99"/>
      <w:bookmarkEnd w:id="100"/>
    </w:p>
    <w:p w:rsidR="003F30AE" w:rsidRDefault="003F30AE" w:rsidP="003F30AE">
      <w:pPr>
        <w:pStyle w:val="NormalWeb"/>
      </w:pPr>
      <w:r>
        <w:rPr>
          <w:rFonts w:ascii="Gill Sans" w:hAnsi="Gill Sans" w:cs="Gill Sans"/>
          <w:b/>
          <w:bCs/>
          <w:sz w:val="22"/>
          <w:szCs w:val="22"/>
        </w:rPr>
        <w:t xml:space="preserve">Commitment Text: </w:t>
      </w:r>
    </w:p>
    <w:p w:rsidR="003F30AE" w:rsidRDefault="003F30AE" w:rsidP="003F30AE">
      <w:pPr>
        <w:pStyle w:val="NormalWeb"/>
      </w:pPr>
      <w:r>
        <w:rPr>
          <w:rFonts w:ascii="Gill Sans" w:hAnsi="Gill Sans" w:cs="Gill Sans"/>
          <w:i/>
          <w:iCs/>
          <w:color w:val="212121"/>
          <w:sz w:val="22"/>
          <w:szCs w:val="22"/>
        </w:rPr>
        <w:t xml:space="preserve">In the framework of the Action Plan, Zugdidi Municipality Assembly is implementing two projects in the direction of public participation and informativeness: a) by means of webpage www.zugdidi.gov.ge, administered by Zugdidi Municipality Assembly, it will be possible to present petitions in electronic format to the representative body; 2) by means of the information center Zugdidi-INFO, citizens will receive information about ongoing infrastructural, cultural, sports or other projects, also about healthcare and social protection programs in the form of SMS. Using the same method, population receives information about the date and agenda of the Assembly meetings. </w:t>
      </w:r>
    </w:p>
    <w:p w:rsidR="003F30AE" w:rsidRDefault="003F30AE" w:rsidP="003F30AE">
      <w:pPr>
        <w:pStyle w:val="NormalWeb"/>
      </w:pPr>
      <w:r>
        <w:rPr>
          <w:rFonts w:ascii="Gill Sans" w:hAnsi="Gill Sans" w:cs="Gill Sans"/>
          <w:i/>
          <w:iCs/>
          <w:color w:val="212121"/>
          <w:sz w:val="22"/>
          <w:szCs w:val="22"/>
        </w:rPr>
        <w:t xml:space="preserve">Zugdidi-INFO, a fast and direct communication space with citizens, will improve public participation in self-governance and decision-making process. </w:t>
      </w:r>
    </w:p>
    <w:p w:rsidR="003F30AE" w:rsidRDefault="003F30AE" w:rsidP="003F30AE">
      <w:pPr>
        <w:pStyle w:val="NormalWeb"/>
      </w:pPr>
      <w:r>
        <w:rPr>
          <w:rFonts w:ascii="Gill Sans" w:hAnsi="Gill Sans" w:cs="Gill Sans"/>
          <w:i/>
          <w:iCs/>
          <w:color w:val="212121"/>
          <w:sz w:val="22"/>
          <w:szCs w:val="22"/>
        </w:rPr>
        <w:t xml:space="preserve">By means of webpage www.zugdidi.gov.ge, administered by the City Assembly, citizens concerned with the various issues will have the opportunity to easily submit petitions in electronic form about their needs and interests to the municipalities. </w:t>
      </w:r>
    </w:p>
    <w:p w:rsidR="003F30AE" w:rsidRPr="006B6E01" w:rsidRDefault="003F30AE" w:rsidP="003F30AE">
      <w:pPr>
        <w:pStyle w:val="NormalWeb"/>
      </w:pPr>
      <w:r>
        <w:rPr>
          <w:rFonts w:ascii="Gill Sans" w:hAnsi="Gill Sans" w:cs="Gill Sans"/>
          <w:b/>
          <w:bCs/>
          <w:sz w:val="22"/>
          <w:szCs w:val="22"/>
        </w:rPr>
        <w:t xml:space="preserve">Responsible institution: </w:t>
      </w:r>
      <w:r>
        <w:rPr>
          <w:rFonts w:ascii="Gill Sans" w:hAnsi="Gill Sans" w:cs="Gill Sans"/>
          <w:sz w:val="22"/>
          <w:szCs w:val="22"/>
        </w:rPr>
        <w:t>Zugdidi Municipality Assembly</w:t>
      </w:r>
      <w:r>
        <w:rPr>
          <w:rFonts w:ascii="Gill Sans" w:hAnsi="Gill Sans" w:cs="Gill Sans"/>
          <w:sz w:val="22"/>
          <w:szCs w:val="22"/>
        </w:rPr>
        <w:br/>
      </w:r>
      <w:r>
        <w:rPr>
          <w:rFonts w:ascii="Gill Sans" w:hAnsi="Gill Sans" w:cs="Gill Sans"/>
          <w:b/>
          <w:bCs/>
          <w:sz w:val="22"/>
          <w:szCs w:val="22"/>
        </w:rPr>
        <w:t xml:space="preserve">Supporting institution(s): </w:t>
      </w:r>
      <w:r>
        <w:rPr>
          <w:rFonts w:ascii="Gill Sans" w:hAnsi="Gill Sans" w:cs="Gill Sans"/>
          <w:sz w:val="22"/>
          <w:szCs w:val="22"/>
        </w:rPr>
        <w:t xml:space="preserve">Zugdidi Municipality Town Hall and Municipality non-entrepreneurial (non-commercial) legal entities </w:t>
      </w:r>
    </w:p>
    <w:p w:rsidR="003F30AE" w:rsidRDefault="003F30AE" w:rsidP="003F30AE">
      <w:pPr>
        <w:pStyle w:val="NormalWeb"/>
      </w:pPr>
      <w:r>
        <w:rPr>
          <w:rFonts w:ascii="Gill Sans" w:hAnsi="Gill Sans" w:cs="Gill Sans"/>
          <w:b/>
          <w:bCs/>
          <w:sz w:val="22"/>
          <w:szCs w:val="22"/>
        </w:rPr>
        <w:t xml:space="preserve">Start date: </w:t>
      </w:r>
      <w:r w:rsidRPr="001D3551">
        <w:rPr>
          <w:rFonts w:ascii="Gill Sans" w:hAnsi="Gill Sans" w:cs="Gill Sans"/>
          <w:bCs/>
          <w:sz w:val="22"/>
          <w:szCs w:val="22"/>
        </w:rPr>
        <w:t>(</w:t>
      </w:r>
      <w:r>
        <w:rPr>
          <w:rFonts w:ascii="Gill Sans" w:hAnsi="Gill Sans" w:cs="Gill Sans"/>
          <w:bCs/>
          <w:sz w:val="22"/>
          <w:szCs w:val="22"/>
        </w:rPr>
        <w:t xml:space="preserve">Month not provided) </w:t>
      </w:r>
      <w:r>
        <w:rPr>
          <w:rFonts w:ascii="Gill Sans" w:hAnsi="Gill Sans" w:cs="Gill Sans"/>
          <w:sz w:val="22"/>
          <w:szCs w:val="22"/>
        </w:rPr>
        <w:t>2016</w:t>
      </w:r>
      <w:r>
        <w:rPr>
          <w:rFonts w:ascii="Gill Sans" w:hAnsi="Gill Sans" w:cs="Gill Sans"/>
          <w:sz w:val="22"/>
          <w:szCs w:val="22"/>
        </w:rPr>
        <w:br/>
      </w:r>
      <w:r>
        <w:rPr>
          <w:rFonts w:ascii="Gill Sans" w:hAnsi="Gill Sans" w:cs="Gill Sans"/>
          <w:b/>
          <w:bCs/>
          <w:sz w:val="22"/>
          <w:szCs w:val="22"/>
        </w:rPr>
        <w:t xml:space="preserve">End date: </w:t>
      </w:r>
      <w:r>
        <w:rPr>
          <w:rFonts w:ascii="Gill Sans" w:hAnsi="Gill Sans" w:cs="Gill Sans"/>
          <w:sz w:val="22"/>
          <w:szCs w:val="22"/>
        </w:rPr>
        <w:t xml:space="preserve">December 2017 </w:t>
      </w:r>
    </w:p>
    <w:tbl>
      <w:tblPr>
        <w:tblW w:w="10971"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3F30AE" w:rsidRPr="004B1C12"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3F30AE" w:rsidRPr="0010229D" w:rsidRDefault="003F30AE" w:rsidP="003F30AE">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3F30AE" w:rsidRPr="0010229D" w:rsidRDefault="003F30AE" w:rsidP="003F30AE">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3F30AE" w:rsidRPr="0010229D" w:rsidRDefault="003F30AE" w:rsidP="003F30AE">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3F30AE" w:rsidRPr="0010229D" w:rsidRDefault="003F30AE" w:rsidP="003F30AE">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rsidR="003F30AE" w:rsidRPr="0010229D" w:rsidRDefault="003F30AE" w:rsidP="003F30AE">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rsidR="003F30AE" w:rsidRPr="0010229D" w:rsidRDefault="003F30AE" w:rsidP="003F30AE">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3F30AE" w:rsidRPr="0010229D" w:rsidRDefault="003F30AE" w:rsidP="003F30AE">
            <w:r w:rsidRPr="0010229D">
              <w:t xml:space="preserve">Did </w:t>
            </w:r>
            <w:r w:rsidRPr="004B1C12">
              <w:t>I</w:t>
            </w:r>
            <w:r w:rsidRPr="0010229D">
              <w:t>t Open Government?</w:t>
            </w:r>
          </w:p>
        </w:tc>
      </w:tr>
      <w:tr w:rsidR="003F30AE" w:rsidRPr="004B1C12" w:rsidTr="00E60731">
        <w:trPr>
          <w:trHeight w:val="373"/>
        </w:trPr>
        <w:tc>
          <w:tcPr>
            <w:tcW w:w="1596" w:type="dxa"/>
            <w:vMerge/>
            <w:tcBorders>
              <w:left w:val="single" w:sz="4" w:space="0" w:color="FFFFFF"/>
              <w:right w:val="single" w:sz="18" w:space="0" w:color="FFFFFF"/>
            </w:tcBorders>
            <w:shd w:val="clear" w:color="auto" w:fill="000000"/>
            <w:vAlign w:val="center"/>
          </w:tcPr>
          <w:p w:rsidR="003F30AE" w:rsidRPr="0010229D" w:rsidRDefault="003F30AE" w:rsidP="003F30AE">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3F30AE" w:rsidRPr="0010229D" w:rsidRDefault="003F30AE" w:rsidP="003F30AE"/>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3F30AE" w:rsidRPr="0010229D" w:rsidRDefault="003F30AE" w:rsidP="003F30AE"/>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3F30AE" w:rsidRPr="0010229D" w:rsidRDefault="003F30AE" w:rsidP="003F30AE"/>
        </w:tc>
        <w:tc>
          <w:tcPr>
            <w:tcW w:w="990" w:type="dxa"/>
            <w:gridSpan w:val="2"/>
            <w:vMerge/>
            <w:tcBorders>
              <w:left w:val="single" w:sz="18" w:space="0" w:color="FFFFFF"/>
              <w:bottom w:val="single" w:sz="18" w:space="0" w:color="FFFFFF"/>
              <w:right w:val="single" w:sz="2" w:space="0" w:color="FFFFFF"/>
            </w:tcBorders>
            <w:shd w:val="clear" w:color="auto" w:fill="B8CCE4"/>
          </w:tcPr>
          <w:p w:rsidR="003F30AE" w:rsidRPr="0010229D" w:rsidRDefault="003F30AE" w:rsidP="003F30AE"/>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rsidR="003F30AE" w:rsidRPr="0010229D" w:rsidRDefault="003F30AE" w:rsidP="003F30AE">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3F30AE" w:rsidRPr="0010229D" w:rsidRDefault="003F30AE" w:rsidP="003F30AE"/>
        </w:tc>
      </w:tr>
      <w:tr w:rsidR="003F30AE" w:rsidRPr="004B1C12"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3F30AE" w:rsidRPr="0010229D" w:rsidRDefault="003F30AE" w:rsidP="003F30AE">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3F30AE" w:rsidRPr="0010229D" w:rsidRDefault="003F30AE" w:rsidP="003F30AE">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3F30AE" w:rsidRPr="0010229D" w:rsidRDefault="003F30AE" w:rsidP="003F30AE">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3F30AE" w:rsidRPr="0010229D" w:rsidRDefault="003F30AE" w:rsidP="003F30AE">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3F30AE" w:rsidRPr="0010229D" w:rsidRDefault="003F30AE" w:rsidP="003F30AE">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3F30AE" w:rsidRPr="0010229D" w:rsidRDefault="003F30AE" w:rsidP="003F30AE">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3F30AE" w:rsidRPr="0010229D" w:rsidRDefault="003F30AE" w:rsidP="003F30AE">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3F30AE" w:rsidRPr="0010229D" w:rsidRDefault="003F30AE" w:rsidP="003F30AE">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3F30AE" w:rsidRPr="0010229D" w:rsidRDefault="003F30AE" w:rsidP="003F30AE">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3F30AE" w:rsidRPr="0010229D" w:rsidRDefault="003F30AE" w:rsidP="003F30AE">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3F30AE" w:rsidRPr="0010229D" w:rsidRDefault="003F30AE" w:rsidP="003F30AE">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3F30AE" w:rsidRPr="0010229D" w:rsidRDefault="003F30AE" w:rsidP="003F30AE">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3F30AE" w:rsidRPr="0010229D" w:rsidRDefault="003F30AE" w:rsidP="003F30AE">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3F30AE" w:rsidRPr="0010229D" w:rsidRDefault="003F30AE" w:rsidP="003F30AE">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3F30AE" w:rsidRPr="0010229D" w:rsidRDefault="003F30AE" w:rsidP="003F30AE">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3F30AE" w:rsidRPr="0010229D" w:rsidRDefault="003F30AE" w:rsidP="003F30AE">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3F30AE" w:rsidRPr="0010229D" w:rsidRDefault="003F30AE" w:rsidP="003F30AE">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3F30AE" w:rsidRPr="0010229D" w:rsidRDefault="003F30AE" w:rsidP="003F30AE">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3F30AE" w:rsidRPr="0010229D" w:rsidRDefault="003F30AE" w:rsidP="003F30AE">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3F30AE" w:rsidRPr="0010229D" w:rsidRDefault="003F30AE" w:rsidP="003F30AE">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3F30AE" w:rsidRPr="0010229D" w:rsidRDefault="003F30AE" w:rsidP="003F30AE">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3F30AE" w:rsidRPr="0010229D" w:rsidRDefault="003F30AE" w:rsidP="003F30AE">
            <w:r w:rsidRPr="0010229D">
              <w:t>Outstanding</w:t>
            </w:r>
          </w:p>
        </w:tc>
      </w:tr>
      <w:tr w:rsidR="003F30AE" w:rsidRPr="004B1C12" w:rsidTr="00E60731">
        <w:trPr>
          <w:trHeight w:val="600"/>
        </w:trPr>
        <w:tc>
          <w:tcPr>
            <w:tcW w:w="1596" w:type="dxa"/>
            <w:vMerge w:val="restart"/>
            <w:tcBorders>
              <w:top w:val="single" w:sz="18" w:space="0" w:color="FFFFFF"/>
              <w:left w:val="single" w:sz="4" w:space="0" w:color="FFFFFF"/>
            </w:tcBorders>
            <w:shd w:val="clear" w:color="auto" w:fill="000000"/>
            <w:vAlign w:val="center"/>
          </w:tcPr>
          <w:p w:rsidR="003F30AE" w:rsidRPr="0010229D" w:rsidRDefault="003F30AE" w:rsidP="003F30AE">
            <w:pPr>
              <w:rPr>
                <w:color w:val="FFFFFF" w:themeColor="background1"/>
              </w:rPr>
            </w:pPr>
            <w:r>
              <w:rPr>
                <w:rFonts w:ascii="Segoe UI Symbol" w:hAnsi="Segoe UI Symbol" w:cs="Segoe UI Symbol"/>
                <w:color w:val="FFFFFF" w:themeColor="background1"/>
              </w:rPr>
              <w:t xml:space="preserve">22. </w:t>
            </w:r>
            <w:r w:rsidR="00E06F36">
              <w:rPr>
                <w:rFonts w:ascii="Segoe UI Symbol" w:hAnsi="Segoe UI Symbol" w:cs="Segoe UI Symbol"/>
                <w:color w:val="FFFFFF" w:themeColor="background1"/>
              </w:rPr>
              <w:t>E</w:t>
            </w:r>
            <w:r w:rsidRPr="00BE0265">
              <w:rPr>
                <w:rFonts w:ascii="Segoe UI Symbol" w:hAnsi="Segoe UI Symbol" w:cs="Segoe UI Symbol"/>
                <w:color w:val="FFFFFF" w:themeColor="background1"/>
              </w:rPr>
              <w:t xml:space="preserve">lectronic petition portal and “Zugdidi- INFO” </w:t>
            </w:r>
          </w:p>
        </w:tc>
        <w:tc>
          <w:tcPr>
            <w:tcW w:w="445" w:type="dxa"/>
            <w:vMerge w:val="restart"/>
            <w:tcBorders>
              <w:top w:val="single" w:sz="18" w:space="0" w:color="FFFFFF"/>
              <w:right w:val="single" w:sz="2" w:space="0" w:color="FFFFFF"/>
            </w:tcBorders>
            <w:shd w:val="clear" w:color="auto" w:fill="D6E3BC"/>
            <w:vAlign w:val="center"/>
          </w:tcPr>
          <w:p w:rsidR="003F30AE" w:rsidRPr="0010229D" w:rsidRDefault="003F30AE" w:rsidP="003F30AE"/>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3F30AE" w:rsidRPr="0010229D" w:rsidRDefault="003F30AE" w:rsidP="003F30AE"/>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3F30AE" w:rsidRPr="0010229D" w:rsidRDefault="003F30AE" w:rsidP="003F30AE">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3F30AE" w:rsidRPr="0010229D" w:rsidRDefault="003F30AE" w:rsidP="003F30AE"/>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3F30AE" w:rsidRPr="0010229D" w:rsidRDefault="003F30AE" w:rsidP="003F30AE">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rsidR="003F30AE" w:rsidRPr="0010229D" w:rsidRDefault="003F30AE" w:rsidP="003F30AE">
            <w:r w:rsidRPr="0010229D">
              <w:rPr>
                <w:rFonts w:ascii="MS Mincho" w:eastAsia="MS Mincho" w:hAnsi="MS Mincho" w:cs="MS Mincho"/>
                <w:sz w:val="20"/>
              </w:rPr>
              <w:t>✔</w:t>
            </w:r>
          </w:p>
        </w:tc>
        <w:tc>
          <w:tcPr>
            <w:tcW w:w="389" w:type="dxa"/>
            <w:vMerge w:val="restart"/>
            <w:tcBorders>
              <w:top w:val="single" w:sz="18" w:space="0" w:color="FFFFFF"/>
              <w:left w:val="single" w:sz="2" w:space="0" w:color="FFFFFF"/>
              <w:right w:val="single" w:sz="2" w:space="0" w:color="FFFFFF"/>
            </w:tcBorders>
            <w:shd w:val="clear" w:color="auto" w:fill="FBD4B4"/>
            <w:vAlign w:val="center"/>
          </w:tcPr>
          <w:p w:rsidR="003F30AE" w:rsidRPr="0010229D" w:rsidRDefault="003F30AE" w:rsidP="003F30AE"/>
        </w:tc>
        <w:tc>
          <w:tcPr>
            <w:tcW w:w="826" w:type="dxa"/>
            <w:vMerge w:val="restart"/>
            <w:tcBorders>
              <w:top w:val="single" w:sz="18" w:space="0" w:color="FFFFFF"/>
              <w:left w:val="single" w:sz="2" w:space="0" w:color="FFFFFF"/>
              <w:right w:val="single" w:sz="18" w:space="0" w:color="FFFFFF"/>
            </w:tcBorders>
            <w:shd w:val="clear" w:color="auto" w:fill="FBD4B4"/>
            <w:vAlign w:val="center"/>
          </w:tcPr>
          <w:p w:rsidR="003F30AE" w:rsidRPr="0010229D" w:rsidRDefault="003F30AE" w:rsidP="003F30AE">
            <w:r w:rsidRPr="0010229D">
              <w:rPr>
                <w:rFonts w:ascii="MS Mincho" w:eastAsia="MS Mincho" w:hAnsi="MS Mincho" w:cs="MS Mincho"/>
                <w:sz w:val="20"/>
              </w:rPr>
              <w:t>✔</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3F30AE" w:rsidRPr="0010229D" w:rsidRDefault="003F30AE" w:rsidP="003F30AE"/>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3F30AE" w:rsidRPr="0010229D" w:rsidRDefault="003F30AE" w:rsidP="003F30AE">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3F30AE" w:rsidRPr="0010229D" w:rsidRDefault="003F30AE" w:rsidP="003F30AE"/>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3F30AE" w:rsidRPr="0010229D" w:rsidRDefault="003F30AE" w:rsidP="003F30AE"/>
        </w:tc>
        <w:tc>
          <w:tcPr>
            <w:tcW w:w="540" w:type="dxa"/>
            <w:tcBorders>
              <w:top w:val="single" w:sz="18" w:space="0" w:color="FFFFFF"/>
              <w:left w:val="single" w:sz="18" w:space="0" w:color="FFFFFF"/>
              <w:right w:val="single" w:sz="4" w:space="0" w:color="FFFFFF" w:themeColor="background1"/>
            </w:tcBorders>
            <w:shd w:val="clear" w:color="auto" w:fill="B8CCE4"/>
            <w:vAlign w:val="center"/>
          </w:tcPr>
          <w:p w:rsidR="003F30AE" w:rsidRPr="0010229D" w:rsidRDefault="003F30AE" w:rsidP="003F30AE"/>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3F30AE" w:rsidRPr="0010229D" w:rsidRDefault="003F30AE" w:rsidP="003F30AE"/>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3F30AE" w:rsidRPr="0010229D" w:rsidRDefault="003F30AE" w:rsidP="003F30AE">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rsidR="003F30AE" w:rsidRPr="0010229D" w:rsidRDefault="003F30AE" w:rsidP="003F30AE"/>
        </w:tc>
        <w:tc>
          <w:tcPr>
            <w:tcW w:w="360" w:type="dxa"/>
            <w:vMerge w:val="restart"/>
            <w:tcBorders>
              <w:top w:val="single" w:sz="18" w:space="0" w:color="FFFFFF"/>
              <w:left w:val="single" w:sz="18" w:space="0" w:color="FFFFFF"/>
              <w:right w:val="single" w:sz="2" w:space="0" w:color="FFFFFF"/>
            </w:tcBorders>
            <w:shd w:val="clear" w:color="auto" w:fill="D99594"/>
            <w:vAlign w:val="center"/>
          </w:tcPr>
          <w:p w:rsidR="003F30AE" w:rsidRPr="0010229D" w:rsidRDefault="003F30AE" w:rsidP="003F30AE"/>
        </w:tc>
        <w:tc>
          <w:tcPr>
            <w:tcW w:w="540" w:type="dxa"/>
            <w:vMerge w:val="restart"/>
            <w:tcBorders>
              <w:top w:val="single" w:sz="18" w:space="0" w:color="FFFFFF"/>
              <w:left w:val="single" w:sz="2" w:space="0" w:color="FFFFFF"/>
              <w:right w:val="single" w:sz="2" w:space="0" w:color="FFFFFF"/>
            </w:tcBorders>
            <w:shd w:val="clear" w:color="auto" w:fill="D99594"/>
            <w:vAlign w:val="center"/>
          </w:tcPr>
          <w:p w:rsidR="003F30AE" w:rsidRPr="0010229D" w:rsidRDefault="003F30AE" w:rsidP="003F30AE"/>
        </w:tc>
        <w:tc>
          <w:tcPr>
            <w:tcW w:w="476" w:type="dxa"/>
            <w:vMerge w:val="restart"/>
            <w:tcBorders>
              <w:top w:val="single" w:sz="18" w:space="0" w:color="FFFFFF"/>
              <w:left w:val="single" w:sz="2" w:space="0" w:color="FFFFFF"/>
              <w:right w:val="single" w:sz="2" w:space="0" w:color="FFFFFF"/>
            </w:tcBorders>
            <w:shd w:val="clear" w:color="auto" w:fill="D99594"/>
            <w:vAlign w:val="center"/>
          </w:tcPr>
          <w:p w:rsidR="003F30AE" w:rsidRPr="0010229D" w:rsidRDefault="003F30AE" w:rsidP="003F30AE">
            <w:r w:rsidRPr="0010229D">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rsidR="003F30AE" w:rsidRPr="0010229D" w:rsidRDefault="003F30AE" w:rsidP="003F30AE"/>
        </w:tc>
        <w:tc>
          <w:tcPr>
            <w:tcW w:w="343" w:type="dxa"/>
            <w:vMerge w:val="restart"/>
            <w:tcBorders>
              <w:top w:val="single" w:sz="18" w:space="0" w:color="FFFFFF"/>
              <w:left w:val="single" w:sz="2" w:space="0" w:color="FFFFFF"/>
              <w:right w:val="single" w:sz="18" w:space="0" w:color="FFFFFF"/>
            </w:tcBorders>
            <w:shd w:val="clear" w:color="auto" w:fill="D99594"/>
          </w:tcPr>
          <w:p w:rsidR="003F30AE" w:rsidRPr="0010229D" w:rsidRDefault="003F30AE" w:rsidP="003F30AE"/>
        </w:tc>
      </w:tr>
      <w:tr w:rsidR="003F30AE" w:rsidRPr="004B1C12" w:rsidTr="00E60731">
        <w:trPr>
          <w:trHeight w:val="636"/>
        </w:trPr>
        <w:tc>
          <w:tcPr>
            <w:tcW w:w="1596" w:type="dxa"/>
            <w:vMerge/>
            <w:tcBorders>
              <w:left w:val="nil"/>
              <w:bottom w:val="single" w:sz="18" w:space="0" w:color="FFFFFF"/>
            </w:tcBorders>
            <w:shd w:val="clear" w:color="auto" w:fill="000000"/>
            <w:vAlign w:val="center"/>
          </w:tcPr>
          <w:p w:rsidR="003F30AE" w:rsidRPr="0010229D" w:rsidRDefault="003F30AE" w:rsidP="003F30AE"/>
        </w:tc>
        <w:tc>
          <w:tcPr>
            <w:tcW w:w="445" w:type="dxa"/>
            <w:vMerge/>
            <w:tcBorders>
              <w:bottom w:val="single" w:sz="18" w:space="0" w:color="FFFFFF"/>
              <w:right w:val="single" w:sz="2" w:space="0" w:color="FFFFFF"/>
            </w:tcBorders>
            <w:shd w:val="clear" w:color="auto" w:fill="D6E3BC"/>
            <w:vAlign w:val="center"/>
          </w:tcPr>
          <w:p w:rsidR="003F30AE" w:rsidRPr="0010229D" w:rsidRDefault="003F30AE" w:rsidP="003F30AE"/>
        </w:tc>
        <w:tc>
          <w:tcPr>
            <w:tcW w:w="451" w:type="dxa"/>
            <w:vMerge/>
            <w:tcBorders>
              <w:left w:val="single" w:sz="2" w:space="0" w:color="FFFFFF"/>
              <w:bottom w:val="single" w:sz="18" w:space="0" w:color="FFFFFF"/>
              <w:right w:val="single" w:sz="2" w:space="0" w:color="FFFFFF"/>
            </w:tcBorders>
            <w:shd w:val="clear" w:color="auto" w:fill="D6E3BC"/>
            <w:vAlign w:val="center"/>
          </w:tcPr>
          <w:p w:rsidR="003F30AE" w:rsidRPr="0010229D" w:rsidRDefault="003F30AE" w:rsidP="003F30AE"/>
        </w:tc>
        <w:tc>
          <w:tcPr>
            <w:tcW w:w="362" w:type="dxa"/>
            <w:vMerge/>
            <w:tcBorders>
              <w:left w:val="single" w:sz="2" w:space="0" w:color="FFFFFF"/>
              <w:bottom w:val="single" w:sz="18" w:space="0" w:color="FFFFFF"/>
              <w:right w:val="single" w:sz="2" w:space="0" w:color="FFFFFF"/>
            </w:tcBorders>
            <w:shd w:val="clear" w:color="auto" w:fill="D6E3BC"/>
            <w:vAlign w:val="center"/>
          </w:tcPr>
          <w:p w:rsidR="003F30AE" w:rsidRPr="0010229D" w:rsidRDefault="003F30AE" w:rsidP="003F30AE"/>
        </w:tc>
        <w:tc>
          <w:tcPr>
            <w:tcW w:w="363" w:type="dxa"/>
            <w:vMerge/>
            <w:tcBorders>
              <w:left w:val="single" w:sz="2" w:space="0" w:color="FFFFFF"/>
              <w:bottom w:val="single" w:sz="18" w:space="0" w:color="FFFFFF"/>
              <w:right w:val="single" w:sz="18" w:space="0" w:color="FFFFFF"/>
            </w:tcBorders>
            <w:shd w:val="clear" w:color="auto" w:fill="D6E3BC"/>
            <w:vAlign w:val="center"/>
          </w:tcPr>
          <w:p w:rsidR="003F30AE" w:rsidRPr="0010229D" w:rsidRDefault="003F30AE" w:rsidP="003F30AE"/>
        </w:tc>
        <w:tc>
          <w:tcPr>
            <w:tcW w:w="389" w:type="dxa"/>
            <w:vMerge/>
            <w:tcBorders>
              <w:left w:val="single" w:sz="2" w:space="0" w:color="FFFFFF"/>
              <w:bottom w:val="single" w:sz="18" w:space="0" w:color="FFFFFF"/>
              <w:right w:val="single" w:sz="2" w:space="0" w:color="FFFFFF"/>
            </w:tcBorders>
            <w:shd w:val="clear" w:color="auto" w:fill="FBD4B4"/>
            <w:vAlign w:val="center"/>
          </w:tcPr>
          <w:p w:rsidR="003F30AE" w:rsidRPr="0010229D" w:rsidRDefault="003F30AE" w:rsidP="003F30AE"/>
        </w:tc>
        <w:tc>
          <w:tcPr>
            <w:tcW w:w="388" w:type="dxa"/>
            <w:vMerge/>
            <w:tcBorders>
              <w:left w:val="single" w:sz="2" w:space="0" w:color="FFFFFF"/>
              <w:bottom w:val="single" w:sz="18" w:space="0" w:color="FFFFFF"/>
              <w:right w:val="single" w:sz="2" w:space="0" w:color="FFFFFF"/>
            </w:tcBorders>
            <w:shd w:val="clear" w:color="auto" w:fill="FBD4B4"/>
            <w:vAlign w:val="center"/>
          </w:tcPr>
          <w:p w:rsidR="003F30AE" w:rsidRPr="0010229D" w:rsidRDefault="003F30AE" w:rsidP="003F30AE"/>
        </w:tc>
        <w:tc>
          <w:tcPr>
            <w:tcW w:w="389" w:type="dxa"/>
            <w:vMerge/>
            <w:tcBorders>
              <w:left w:val="single" w:sz="2" w:space="0" w:color="FFFFFF"/>
              <w:bottom w:val="single" w:sz="18" w:space="0" w:color="FFFFFF"/>
              <w:right w:val="single" w:sz="2" w:space="0" w:color="FFFFFF"/>
            </w:tcBorders>
            <w:shd w:val="clear" w:color="auto" w:fill="FBD4B4"/>
            <w:vAlign w:val="center"/>
          </w:tcPr>
          <w:p w:rsidR="003F30AE" w:rsidRPr="0010229D" w:rsidRDefault="003F30AE" w:rsidP="003F30AE"/>
        </w:tc>
        <w:tc>
          <w:tcPr>
            <w:tcW w:w="826" w:type="dxa"/>
            <w:vMerge/>
            <w:tcBorders>
              <w:left w:val="single" w:sz="2" w:space="0" w:color="FFFFFF"/>
              <w:bottom w:val="single" w:sz="18" w:space="0" w:color="FFFFFF"/>
              <w:right w:val="single" w:sz="18" w:space="0" w:color="FFFFFF"/>
            </w:tcBorders>
            <w:shd w:val="clear" w:color="auto" w:fill="FBD4B4"/>
            <w:vAlign w:val="center"/>
          </w:tcPr>
          <w:p w:rsidR="003F30AE" w:rsidRPr="0010229D" w:rsidRDefault="003F30AE" w:rsidP="003F30AE"/>
        </w:tc>
        <w:tc>
          <w:tcPr>
            <w:tcW w:w="450" w:type="dxa"/>
            <w:vMerge/>
            <w:tcBorders>
              <w:left w:val="single" w:sz="18" w:space="0" w:color="FFFFFF"/>
              <w:bottom w:val="single" w:sz="18" w:space="0" w:color="FFFFFF"/>
              <w:right w:val="single" w:sz="2" w:space="0" w:color="FFFFFF"/>
            </w:tcBorders>
            <w:shd w:val="clear" w:color="auto" w:fill="CCC0D9"/>
            <w:vAlign w:val="center"/>
          </w:tcPr>
          <w:p w:rsidR="003F30AE" w:rsidRPr="0010229D" w:rsidRDefault="003F30AE" w:rsidP="003F30AE"/>
        </w:tc>
        <w:tc>
          <w:tcPr>
            <w:tcW w:w="360" w:type="dxa"/>
            <w:vMerge/>
            <w:tcBorders>
              <w:left w:val="single" w:sz="2" w:space="0" w:color="FFFFFF"/>
              <w:bottom w:val="single" w:sz="18" w:space="0" w:color="FFFFFF"/>
              <w:right w:val="single" w:sz="2" w:space="0" w:color="FFFFFF"/>
            </w:tcBorders>
            <w:shd w:val="clear" w:color="auto" w:fill="CCC0D9"/>
            <w:vAlign w:val="center"/>
          </w:tcPr>
          <w:p w:rsidR="003F30AE" w:rsidRPr="0010229D" w:rsidRDefault="003F30AE" w:rsidP="003F30AE"/>
        </w:tc>
        <w:tc>
          <w:tcPr>
            <w:tcW w:w="450" w:type="dxa"/>
            <w:vMerge/>
            <w:tcBorders>
              <w:left w:val="single" w:sz="2" w:space="0" w:color="FFFFFF"/>
              <w:bottom w:val="single" w:sz="18" w:space="0" w:color="FFFFFF"/>
              <w:right w:val="single" w:sz="2" w:space="0" w:color="FFFFFF"/>
            </w:tcBorders>
            <w:shd w:val="clear" w:color="auto" w:fill="CCC0D9"/>
            <w:vAlign w:val="center"/>
          </w:tcPr>
          <w:p w:rsidR="003F30AE" w:rsidRPr="0010229D" w:rsidRDefault="003F30AE" w:rsidP="003F30AE"/>
        </w:tc>
        <w:tc>
          <w:tcPr>
            <w:tcW w:w="360" w:type="dxa"/>
            <w:vMerge/>
            <w:tcBorders>
              <w:left w:val="single" w:sz="2" w:space="0" w:color="FFFFFF"/>
              <w:bottom w:val="single" w:sz="18" w:space="0" w:color="FFFFFF"/>
              <w:right w:val="single" w:sz="18" w:space="0" w:color="FFFFFF"/>
            </w:tcBorders>
            <w:shd w:val="clear" w:color="auto" w:fill="CCC0D9"/>
            <w:vAlign w:val="center"/>
          </w:tcPr>
          <w:p w:rsidR="003F30AE" w:rsidRPr="0010229D" w:rsidRDefault="003F30AE" w:rsidP="003F30AE"/>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rsidR="003F30AE" w:rsidRPr="0010229D" w:rsidRDefault="003F30AE" w:rsidP="003F30AE"/>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rsidR="003F30AE" w:rsidRPr="0010229D" w:rsidRDefault="003F30AE" w:rsidP="003F30AE"/>
        </w:tc>
        <w:tc>
          <w:tcPr>
            <w:tcW w:w="630" w:type="dxa"/>
            <w:tcBorders>
              <w:top w:val="nil"/>
              <w:left w:val="single" w:sz="2" w:space="0" w:color="FFFFFF"/>
              <w:bottom w:val="single" w:sz="18" w:space="0" w:color="FFFFFF"/>
              <w:right w:val="single" w:sz="2" w:space="0" w:color="FFFFFF"/>
            </w:tcBorders>
            <w:shd w:val="clear" w:color="auto" w:fill="B8CCE4"/>
            <w:vAlign w:val="center"/>
          </w:tcPr>
          <w:p w:rsidR="003F30AE" w:rsidRPr="0010229D" w:rsidRDefault="003F30AE" w:rsidP="003F30AE">
            <w:r w:rsidRPr="0010229D">
              <w:rPr>
                <w:rFonts w:ascii="MS Mincho" w:eastAsia="MS Mincho" w:hAnsi="MS Mincho" w:cs="MS Mincho"/>
                <w:sz w:val="20"/>
              </w:rPr>
              <w:t>✔</w:t>
            </w:r>
          </w:p>
        </w:tc>
        <w:tc>
          <w:tcPr>
            <w:tcW w:w="461" w:type="dxa"/>
            <w:tcBorders>
              <w:top w:val="nil"/>
              <w:left w:val="single" w:sz="2" w:space="0" w:color="FFFFFF"/>
              <w:bottom w:val="single" w:sz="18" w:space="0" w:color="FFFFFF"/>
              <w:right w:val="single" w:sz="18" w:space="0" w:color="FFFFFF"/>
            </w:tcBorders>
            <w:shd w:val="clear" w:color="auto" w:fill="B8CCE4"/>
            <w:vAlign w:val="center"/>
          </w:tcPr>
          <w:p w:rsidR="003F30AE" w:rsidRPr="0010229D" w:rsidRDefault="003F30AE" w:rsidP="003F30AE"/>
        </w:tc>
        <w:tc>
          <w:tcPr>
            <w:tcW w:w="360" w:type="dxa"/>
            <w:vMerge/>
            <w:tcBorders>
              <w:left w:val="single" w:sz="18" w:space="0" w:color="FFFFFF"/>
              <w:bottom w:val="single" w:sz="18" w:space="0" w:color="FFFFFF"/>
              <w:right w:val="single" w:sz="2" w:space="0" w:color="FFFFFF"/>
            </w:tcBorders>
            <w:shd w:val="clear" w:color="auto" w:fill="D99594"/>
            <w:vAlign w:val="center"/>
          </w:tcPr>
          <w:p w:rsidR="003F30AE" w:rsidRPr="0010229D" w:rsidRDefault="003F30AE" w:rsidP="003F30AE"/>
        </w:tc>
        <w:tc>
          <w:tcPr>
            <w:tcW w:w="540" w:type="dxa"/>
            <w:vMerge/>
            <w:tcBorders>
              <w:left w:val="single" w:sz="2" w:space="0" w:color="FFFFFF"/>
              <w:bottom w:val="single" w:sz="18" w:space="0" w:color="FFFFFF"/>
              <w:right w:val="single" w:sz="2" w:space="0" w:color="FFFFFF"/>
            </w:tcBorders>
            <w:shd w:val="clear" w:color="auto" w:fill="D99594"/>
            <w:vAlign w:val="center"/>
          </w:tcPr>
          <w:p w:rsidR="003F30AE" w:rsidRPr="0010229D" w:rsidRDefault="003F30AE" w:rsidP="003F30AE"/>
        </w:tc>
        <w:tc>
          <w:tcPr>
            <w:tcW w:w="476" w:type="dxa"/>
            <w:vMerge/>
            <w:tcBorders>
              <w:left w:val="single" w:sz="2" w:space="0" w:color="FFFFFF"/>
              <w:bottom w:val="single" w:sz="18" w:space="0" w:color="FFFFFF"/>
              <w:right w:val="single" w:sz="2" w:space="0" w:color="FFFFFF"/>
            </w:tcBorders>
            <w:shd w:val="clear" w:color="auto" w:fill="D99594"/>
            <w:vAlign w:val="center"/>
          </w:tcPr>
          <w:p w:rsidR="003F30AE" w:rsidRPr="0010229D" w:rsidRDefault="003F30AE" w:rsidP="003F30AE"/>
        </w:tc>
        <w:tc>
          <w:tcPr>
            <w:tcW w:w="342" w:type="dxa"/>
            <w:vMerge/>
            <w:tcBorders>
              <w:left w:val="single" w:sz="2" w:space="0" w:color="FFFFFF"/>
              <w:bottom w:val="single" w:sz="18" w:space="0" w:color="FFFFFF"/>
              <w:right w:val="single" w:sz="2" w:space="0" w:color="FFFFFF"/>
            </w:tcBorders>
            <w:shd w:val="clear" w:color="auto" w:fill="D99594"/>
            <w:vAlign w:val="center"/>
          </w:tcPr>
          <w:p w:rsidR="003F30AE" w:rsidRPr="0010229D" w:rsidRDefault="003F30AE" w:rsidP="003F30AE"/>
        </w:tc>
        <w:tc>
          <w:tcPr>
            <w:tcW w:w="343" w:type="dxa"/>
            <w:vMerge/>
            <w:tcBorders>
              <w:left w:val="single" w:sz="2" w:space="0" w:color="FFFFFF"/>
              <w:bottom w:val="single" w:sz="18" w:space="0" w:color="FFFFFF"/>
              <w:right w:val="single" w:sz="18" w:space="0" w:color="FFFFFF"/>
            </w:tcBorders>
            <w:shd w:val="clear" w:color="auto" w:fill="D99594"/>
          </w:tcPr>
          <w:p w:rsidR="003F30AE" w:rsidRPr="0010229D" w:rsidRDefault="003F30AE" w:rsidP="003F30AE"/>
        </w:tc>
      </w:tr>
    </w:tbl>
    <w:p w:rsidR="003F30AE" w:rsidRPr="00F1381D" w:rsidRDefault="003F30AE" w:rsidP="003F30AE">
      <w:pPr>
        <w:spacing w:after="120"/>
        <w:rPr>
          <w:szCs w:val="22"/>
        </w:rPr>
      </w:pPr>
    </w:p>
    <w:p w:rsidR="003F30AE" w:rsidRDefault="003F30AE" w:rsidP="00FE5928">
      <w:pPr>
        <w:pStyle w:val="Heading3"/>
      </w:pPr>
      <w:bookmarkStart w:id="101" w:name="_Toc529199395"/>
      <w:bookmarkStart w:id="102" w:name="_Toc529997050"/>
      <w:bookmarkStart w:id="103" w:name="_Toc530910743"/>
      <w:r w:rsidRPr="002A3CC8">
        <w:lastRenderedPageBreak/>
        <w:t>Commitment Aim:</w:t>
      </w:r>
      <w:bookmarkEnd w:id="101"/>
      <w:bookmarkEnd w:id="102"/>
      <w:bookmarkEnd w:id="103"/>
    </w:p>
    <w:p w:rsidR="003F30AE" w:rsidRPr="007463DE" w:rsidRDefault="003F30AE" w:rsidP="003F30AE">
      <w:pPr>
        <w:pStyle w:val="NormalWeb"/>
        <w:rPr>
          <w:rFonts w:ascii="Gill Sans" w:hAnsi="Gill Sans" w:cs="Gill Sans"/>
          <w:sz w:val="22"/>
          <w:szCs w:val="22"/>
        </w:rPr>
      </w:pPr>
      <w:r>
        <w:rPr>
          <w:rFonts w:ascii="Gill Sans" w:hAnsi="Gill Sans" w:cs="Gill Sans"/>
          <w:color w:val="222222"/>
          <w:sz w:val="22"/>
        </w:rPr>
        <w:t>Within the commitment, Zugdidi Municipality Assembly took the responsibility to launch 1) Zugdidi-INFO SMS service to deliver citizens the news and announcements regarding the local governance and Assembly meetings, and 2) the electronic petitions portal on the municipality website, in order to diversify the means and simplify the process of submitting policy suggestions to the local government</w:t>
      </w:r>
      <w:r>
        <w:rPr>
          <w:rStyle w:val="EndnoteReference"/>
          <w:rFonts w:ascii="Gill Sans" w:hAnsi="Gill Sans" w:cs="Gill Sans"/>
          <w:color w:val="222222"/>
          <w:sz w:val="22"/>
        </w:rPr>
        <w:endnoteReference w:id="110"/>
      </w:r>
      <w:r>
        <w:rPr>
          <w:rFonts w:ascii="Gill Sans" w:hAnsi="Gill Sans" w:cs="Gill Sans"/>
          <w:color w:val="222222"/>
          <w:sz w:val="22"/>
        </w:rPr>
        <w:t>. By</w:t>
      </w:r>
      <w:r>
        <w:rPr>
          <w:rFonts w:ascii="Gill Sans" w:hAnsi="Gill Sans" w:cs="Gill Sans"/>
          <w:sz w:val="22"/>
          <w:szCs w:val="22"/>
        </w:rPr>
        <w:t xml:space="preserve"> sending out SMS notifications and providing </w:t>
      </w:r>
      <w:r w:rsidRPr="00281262">
        <w:rPr>
          <w:rFonts w:ascii="Gill Sans" w:hAnsi="Gill Sans" w:cs="Gill Sans"/>
          <w:sz w:val="22"/>
          <w:szCs w:val="22"/>
        </w:rPr>
        <w:t>relevant updates to the citizens, the Assembly intended to bolster public interest and engagement in the local self-governance. The e-petition mechanism was expected to provide an additional platform to voice citizens’ needs and suggestion</w:t>
      </w:r>
      <w:r>
        <w:rPr>
          <w:rFonts w:ascii="Gill Sans" w:hAnsi="Gill Sans" w:cs="Gill Sans"/>
          <w:sz w:val="22"/>
          <w:szCs w:val="22"/>
        </w:rPr>
        <w:t>s regarding the local decision-making processes</w:t>
      </w:r>
      <w:r w:rsidRPr="00281262">
        <w:rPr>
          <w:rFonts w:ascii="Gill Sans" w:hAnsi="Gill Sans" w:cs="Gill Sans"/>
          <w:sz w:val="22"/>
          <w:szCs w:val="22"/>
        </w:rPr>
        <w:t>.</w:t>
      </w:r>
    </w:p>
    <w:p w:rsidR="003F30AE" w:rsidRPr="000E55F3" w:rsidRDefault="003F30AE" w:rsidP="00FE5928">
      <w:pPr>
        <w:pStyle w:val="Heading3"/>
      </w:pPr>
      <w:bookmarkStart w:id="104" w:name="_Toc529199396"/>
      <w:bookmarkStart w:id="105" w:name="_Toc529997051"/>
      <w:bookmarkStart w:id="106" w:name="_Toc530910744"/>
      <w:r w:rsidRPr="000E55F3">
        <w:t>Status</w:t>
      </w:r>
      <w:bookmarkEnd w:id="104"/>
      <w:bookmarkEnd w:id="105"/>
      <w:bookmarkEnd w:id="106"/>
    </w:p>
    <w:p w:rsidR="003F30AE" w:rsidRDefault="003F30AE" w:rsidP="003F30AE">
      <w:pPr>
        <w:pStyle w:val="Normalrglronly"/>
        <w:rPr>
          <w:b/>
        </w:rPr>
      </w:pPr>
      <w:r w:rsidRPr="000E55F3">
        <w:rPr>
          <w:b/>
        </w:rPr>
        <w:t xml:space="preserve">Midterm: </w:t>
      </w:r>
      <w:r>
        <w:rPr>
          <w:b/>
        </w:rPr>
        <w:t>Substantial</w:t>
      </w:r>
    </w:p>
    <w:p w:rsidR="003F30AE" w:rsidRPr="00AE70EF" w:rsidRDefault="003F30AE" w:rsidP="003F30AE">
      <w:pPr>
        <w:pStyle w:val="NormalWeb"/>
        <w:rPr>
          <w:rFonts w:ascii="Gill Sans" w:hAnsi="Gill Sans" w:cs="Gill Sans"/>
          <w:sz w:val="22"/>
          <w:szCs w:val="22"/>
        </w:rPr>
      </w:pPr>
      <w:r>
        <w:rPr>
          <w:rFonts w:ascii="Gill Sans" w:hAnsi="Gill Sans" w:cs="Gill Sans"/>
          <w:sz w:val="22"/>
          <w:szCs w:val="22"/>
        </w:rPr>
        <w:t>By the midterm, the commitment was implemented to a substantial degree, considering that the SMS service was up and running, and the electronic petition portal was under development. Within the Zugdidi-INFO initiative, 11,000 citizens were receiving regular announcements with time, date and location regarding the Assembly meetings. Other text messages informed public about the local municipal novelties, including news on the reconstruction works; so, as a result, the service was multifunctional</w:t>
      </w:r>
      <w:r>
        <w:rPr>
          <w:rStyle w:val="EndnoteReference"/>
          <w:rFonts w:ascii="Gill Sans" w:hAnsi="Gill Sans" w:cs="Gill Sans"/>
          <w:sz w:val="22"/>
          <w:szCs w:val="22"/>
        </w:rPr>
        <w:endnoteReference w:id="111"/>
      </w:r>
      <w:r>
        <w:rPr>
          <w:rFonts w:ascii="Gill Sans" w:hAnsi="Gill Sans" w:cs="Gill Sans"/>
          <w:sz w:val="22"/>
          <w:szCs w:val="22"/>
        </w:rPr>
        <w:t>.</w:t>
      </w:r>
    </w:p>
    <w:p w:rsidR="003F30AE" w:rsidRPr="004B1C12" w:rsidRDefault="003F30AE" w:rsidP="003F30AE">
      <w:pPr>
        <w:rPr>
          <w:i/>
          <w:color w:val="4F81BD" w:themeColor="accent1"/>
        </w:rPr>
      </w:pPr>
    </w:p>
    <w:p w:rsidR="003F30AE" w:rsidRDefault="003F30AE" w:rsidP="003F30AE">
      <w:pPr>
        <w:pStyle w:val="Normalrglronly"/>
        <w:rPr>
          <w:b/>
        </w:rPr>
      </w:pPr>
      <w:r>
        <w:rPr>
          <w:b/>
        </w:rPr>
        <w:t>End of term: Substantial</w:t>
      </w:r>
    </w:p>
    <w:p w:rsidR="003F30AE" w:rsidRDefault="003F30AE" w:rsidP="003F30AE">
      <w:pPr>
        <w:pStyle w:val="NormalWeb"/>
        <w:rPr>
          <w:rFonts w:ascii="Gill Sans" w:hAnsi="Gill Sans" w:cs="Gill Sans"/>
          <w:sz w:val="22"/>
          <w:szCs w:val="22"/>
        </w:rPr>
      </w:pPr>
      <w:r>
        <w:rPr>
          <w:rFonts w:ascii="Gill Sans" w:hAnsi="Gill Sans" w:cs="Gill Sans"/>
          <w:sz w:val="22"/>
          <w:szCs w:val="22"/>
        </w:rPr>
        <w:t xml:space="preserve">The commitment </w:t>
      </w:r>
      <w:r w:rsidR="00DD62AE">
        <w:rPr>
          <w:rFonts w:ascii="Gill Sans" w:hAnsi="Gill Sans" w:cs="Gill Sans"/>
          <w:sz w:val="22"/>
          <w:szCs w:val="22"/>
        </w:rPr>
        <w:t xml:space="preserve">has remained substantially completed at the end of term, </w:t>
      </w:r>
      <w:r>
        <w:rPr>
          <w:rFonts w:ascii="Gill Sans" w:hAnsi="Gill Sans" w:cs="Gill Sans"/>
          <w:sz w:val="22"/>
          <w:szCs w:val="22"/>
        </w:rPr>
        <w:t>considering that its two key components were technically implemented, however one of them is not fully functional</w:t>
      </w:r>
      <w:r w:rsidR="00DD62AE">
        <w:rPr>
          <w:rFonts w:ascii="Gill Sans" w:hAnsi="Gill Sans" w:cs="Gill Sans"/>
          <w:sz w:val="22"/>
          <w:szCs w:val="22"/>
        </w:rPr>
        <w:t>.</w:t>
      </w:r>
    </w:p>
    <w:p w:rsidR="003F30AE" w:rsidRDefault="003F30AE" w:rsidP="003F30AE">
      <w:pPr>
        <w:pStyle w:val="NormalWeb"/>
        <w:rPr>
          <w:rFonts w:ascii="Gill Sans" w:hAnsi="Gill Sans" w:cs="Gill Sans"/>
          <w:sz w:val="22"/>
          <w:szCs w:val="22"/>
        </w:rPr>
      </w:pPr>
      <w:r w:rsidRPr="00B25E9C">
        <w:rPr>
          <w:rFonts w:ascii="Gill Sans" w:hAnsi="Gill Sans" w:cs="Gill Sans"/>
          <w:b/>
          <w:sz w:val="22"/>
          <w:szCs w:val="22"/>
        </w:rPr>
        <w:t>Zugdidi-INFO</w:t>
      </w:r>
      <w:r>
        <w:rPr>
          <w:rFonts w:ascii="Gill Sans" w:hAnsi="Gill Sans" w:cs="Gill Sans"/>
          <w:b/>
          <w:sz w:val="22"/>
          <w:szCs w:val="22"/>
        </w:rPr>
        <w:t xml:space="preserve"> SMS service</w:t>
      </w:r>
      <w:r>
        <w:rPr>
          <w:rFonts w:ascii="Gill Sans" w:hAnsi="Gill Sans" w:cs="Gill Sans"/>
          <w:sz w:val="22"/>
          <w:szCs w:val="22"/>
        </w:rPr>
        <w:t>: SMS service was launched in May 2016 and has been running since. The number of SMS recipients remains at 11,000</w:t>
      </w:r>
      <w:r>
        <w:rPr>
          <w:rStyle w:val="EndnoteReference"/>
          <w:rFonts w:ascii="Gill Sans" w:hAnsi="Gill Sans" w:cs="Gill Sans"/>
          <w:sz w:val="22"/>
          <w:szCs w:val="22"/>
        </w:rPr>
        <w:endnoteReference w:id="112"/>
      </w:r>
      <w:r>
        <w:rPr>
          <w:rFonts w:ascii="Gill Sans" w:hAnsi="Gill Sans" w:cs="Gill Sans"/>
          <w:sz w:val="22"/>
          <w:szCs w:val="22"/>
        </w:rPr>
        <w:t>. SMS notifications are sent from one of the Assembly staff member’s phone numbers. According to the Transparency International (TI) representative, users usually receive announcements regarding the Assembly meetings, as well as presentations of reports by the local government officials</w:t>
      </w:r>
      <w:r>
        <w:rPr>
          <w:rStyle w:val="EndnoteReference"/>
          <w:rFonts w:ascii="Gill Sans" w:hAnsi="Gill Sans" w:cs="Gill Sans"/>
          <w:sz w:val="22"/>
          <w:szCs w:val="22"/>
        </w:rPr>
        <w:endnoteReference w:id="113"/>
      </w:r>
      <w:r>
        <w:rPr>
          <w:rFonts w:ascii="Gill Sans" w:hAnsi="Gill Sans" w:cs="Gill Sans"/>
          <w:sz w:val="22"/>
          <w:szCs w:val="22"/>
        </w:rPr>
        <w:t xml:space="preserve">. Several </w:t>
      </w:r>
      <w:r w:rsidR="00DD62AE">
        <w:rPr>
          <w:rFonts w:ascii="Gill Sans" w:hAnsi="Gill Sans" w:cs="Gill Sans"/>
          <w:sz w:val="22"/>
          <w:szCs w:val="22"/>
        </w:rPr>
        <w:t xml:space="preserve">local residents who participated in the focus group conducted by the IRM researcher, </w:t>
      </w:r>
      <w:r>
        <w:rPr>
          <w:rFonts w:ascii="Gill Sans" w:hAnsi="Gill Sans" w:cs="Gill Sans"/>
          <w:sz w:val="22"/>
          <w:szCs w:val="22"/>
        </w:rPr>
        <w:t>recalled receiving SMS about an upcoming concert, infrastructural works and news associated with the local Public Service Hall.</w:t>
      </w:r>
    </w:p>
    <w:p w:rsidR="003F30AE" w:rsidRDefault="003F30AE" w:rsidP="003F30AE">
      <w:pPr>
        <w:pStyle w:val="NormalWeb"/>
        <w:rPr>
          <w:rFonts w:ascii="Gill Sans" w:hAnsi="Gill Sans" w:cs="Gill Sans"/>
          <w:sz w:val="22"/>
          <w:szCs w:val="22"/>
        </w:rPr>
      </w:pPr>
      <w:r w:rsidRPr="00B25E9C">
        <w:rPr>
          <w:rFonts w:ascii="Gill Sans" w:hAnsi="Gill Sans" w:cs="Gill Sans"/>
          <w:b/>
          <w:sz w:val="22"/>
          <w:szCs w:val="22"/>
        </w:rPr>
        <w:t>Electronic mechanism for submitting e-petitions</w:t>
      </w:r>
      <w:r>
        <w:rPr>
          <w:rFonts w:ascii="Gill Sans" w:hAnsi="Gill Sans" w:cs="Gill Sans"/>
          <w:sz w:val="22"/>
          <w:szCs w:val="22"/>
        </w:rPr>
        <w:t xml:space="preserve">: The new website for Zugdidi Municipality Assembly incorporates the electronic petitions portal. However, because of the technical issues, it is not in service and </w:t>
      </w:r>
      <w:r w:rsidR="00DD62AE">
        <w:rPr>
          <w:rFonts w:ascii="Gill Sans" w:hAnsi="Gill Sans" w:cs="Gill Sans"/>
          <w:sz w:val="22"/>
          <w:szCs w:val="22"/>
        </w:rPr>
        <w:t xml:space="preserve">it is not posible to </w:t>
      </w:r>
      <w:r>
        <w:rPr>
          <w:rFonts w:ascii="Gill Sans" w:hAnsi="Gill Sans" w:cs="Gill Sans"/>
          <w:sz w:val="22"/>
          <w:szCs w:val="22"/>
        </w:rPr>
        <w:t>submit e-petitions to the Assembly</w:t>
      </w:r>
      <w:r>
        <w:rPr>
          <w:rStyle w:val="EndnoteReference"/>
          <w:rFonts w:ascii="Gill Sans" w:hAnsi="Gill Sans" w:cs="Gill Sans"/>
          <w:sz w:val="22"/>
          <w:szCs w:val="22"/>
        </w:rPr>
        <w:endnoteReference w:id="114"/>
      </w:r>
      <w:r>
        <w:rPr>
          <w:rFonts w:ascii="Gill Sans" w:hAnsi="Gill Sans" w:cs="Gill Sans"/>
          <w:sz w:val="22"/>
          <w:szCs w:val="22"/>
        </w:rPr>
        <w:t>.</w:t>
      </w:r>
    </w:p>
    <w:p w:rsidR="003F30AE" w:rsidRPr="00DE5806" w:rsidRDefault="003F30AE" w:rsidP="00FE5928">
      <w:pPr>
        <w:pStyle w:val="Heading3"/>
      </w:pPr>
      <w:bookmarkStart w:id="107" w:name="_Toc529199397"/>
      <w:bookmarkStart w:id="108" w:name="_Toc529997052"/>
      <w:bookmarkStart w:id="109" w:name="_Toc530910745"/>
      <w:r w:rsidRPr="004A094D">
        <w:t>Did It Open Government?</w:t>
      </w:r>
      <w:bookmarkEnd w:id="107"/>
      <w:bookmarkEnd w:id="108"/>
      <w:bookmarkEnd w:id="109"/>
    </w:p>
    <w:p w:rsidR="00E60731" w:rsidRDefault="003F30AE" w:rsidP="00E60731">
      <w:pPr>
        <w:pStyle w:val="Normalrglronly"/>
        <w:spacing w:after="0" w:line="276" w:lineRule="auto"/>
        <w:rPr>
          <w:b/>
        </w:rPr>
      </w:pPr>
      <w:r w:rsidRPr="00760EAC">
        <w:rPr>
          <w:b/>
        </w:rPr>
        <w:t>A</w:t>
      </w:r>
      <w:r>
        <w:rPr>
          <w:b/>
        </w:rPr>
        <w:t>ccess to information: Marginal</w:t>
      </w:r>
    </w:p>
    <w:p w:rsidR="003F30AE" w:rsidRPr="00760EAC" w:rsidRDefault="003F30AE" w:rsidP="00E60731">
      <w:pPr>
        <w:pStyle w:val="Normalrglronly"/>
        <w:spacing w:after="0" w:line="276" w:lineRule="auto"/>
        <w:rPr>
          <w:b/>
        </w:rPr>
      </w:pPr>
      <w:r w:rsidRPr="00760EAC">
        <w:rPr>
          <w:b/>
        </w:rPr>
        <w:t>Civic Participation: Did not change</w:t>
      </w:r>
    </w:p>
    <w:p w:rsidR="003F30AE" w:rsidRDefault="003F30AE" w:rsidP="003F30AE">
      <w:pPr>
        <w:pStyle w:val="NormalWeb"/>
        <w:rPr>
          <w:rFonts w:ascii="Gill Sans" w:hAnsi="Gill Sans" w:cs="Gill Sans"/>
          <w:sz w:val="22"/>
          <w:szCs w:val="22"/>
        </w:rPr>
      </w:pPr>
      <w:r w:rsidRPr="00FF575A">
        <w:rPr>
          <w:rFonts w:ascii="Gill Sans" w:hAnsi="Gill Sans" w:cs="Gill Sans"/>
          <w:b/>
          <w:sz w:val="22"/>
          <w:szCs w:val="22"/>
        </w:rPr>
        <w:lastRenderedPageBreak/>
        <w:t xml:space="preserve">Zugdidi-INFO SMS </w:t>
      </w:r>
      <w:r>
        <w:rPr>
          <w:rFonts w:ascii="Gill Sans" w:hAnsi="Gill Sans" w:cs="Gill Sans"/>
          <w:b/>
          <w:sz w:val="22"/>
          <w:szCs w:val="22"/>
        </w:rPr>
        <w:t>s</w:t>
      </w:r>
      <w:r w:rsidRPr="00FF575A">
        <w:rPr>
          <w:rFonts w:ascii="Gill Sans" w:hAnsi="Gill Sans" w:cs="Gill Sans"/>
          <w:b/>
          <w:sz w:val="22"/>
          <w:szCs w:val="22"/>
        </w:rPr>
        <w:t>ervice</w:t>
      </w:r>
      <w:r w:rsidR="00DD62AE">
        <w:rPr>
          <w:rFonts w:ascii="Gill Sans" w:hAnsi="Gill Sans" w:cs="Gill Sans"/>
          <w:sz w:val="22"/>
          <w:szCs w:val="22"/>
        </w:rPr>
        <w:t xml:space="preserve"> </w:t>
      </w:r>
      <w:r>
        <w:rPr>
          <w:rFonts w:ascii="Gill Sans" w:hAnsi="Gill Sans" w:cs="Gill Sans"/>
          <w:sz w:val="22"/>
          <w:szCs w:val="22"/>
        </w:rPr>
        <w:t>allowed increased access to information by sending text messages to citizens about the local news and Assembly meetings. While this is a good tool for informing public, the number of recipients has remained the same since the midterm – reaching up to 11,000, or a quarter of the population of the Zugdidi municipality.</w:t>
      </w:r>
      <w:r>
        <w:rPr>
          <w:rStyle w:val="EndnoteReference"/>
          <w:rFonts w:ascii="Gill Sans" w:hAnsi="Gill Sans" w:cs="Gill Sans"/>
          <w:sz w:val="22"/>
          <w:szCs w:val="22"/>
        </w:rPr>
        <w:endnoteReference w:id="115"/>
      </w:r>
      <w:r>
        <w:rPr>
          <w:rFonts w:ascii="Gill Sans" w:hAnsi="Gill Sans" w:cs="Gill Sans"/>
          <w:sz w:val="22"/>
          <w:szCs w:val="22"/>
        </w:rPr>
        <w:t xml:space="preserve">  There are no formal procedures for citizens to register for the service. They can write the Assembly on their Facebook page, or contact them through e-mail with the request to add their number to the general database. However, the alternative</w:t>
      </w:r>
      <w:r w:rsidR="00DD62AE">
        <w:rPr>
          <w:rFonts w:ascii="Gill Sans" w:hAnsi="Gill Sans" w:cs="Gill Sans"/>
          <w:sz w:val="22"/>
          <w:szCs w:val="22"/>
        </w:rPr>
        <w:t>, offline</w:t>
      </w:r>
      <w:r>
        <w:rPr>
          <w:rFonts w:ascii="Gill Sans" w:hAnsi="Gill Sans" w:cs="Gill Sans"/>
          <w:sz w:val="22"/>
          <w:szCs w:val="22"/>
        </w:rPr>
        <w:t xml:space="preserve"> registration methods are important, as 35% of people never use the Internet in Georgia, although this number is higher in rural areas (61%) than in Tbilisi (15%)</w:t>
      </w:r>
      <w:r>
        <w:rPr>
          <w:rStyle w:val="EndnoteReference"/>
          <w:rFonts w:ascii="Gill Sans" w:hAnsi="Gill Sans" w:cs="Gill Sans"/>
          <w:sz w:val="22"/>
          <w:szCs w:val="22"/>
        </w:rPr>
        <w:endnoteReference w:id="116"/>
      </w:r>
      <w:r>
        <w:rPr>
          <w:rFonts w:ascii="Gill Sans" w:hAnsi="Gill Sans" w:cs="Gill Sans"/>
          <w:sz w:val="22"/>
          <w:szCs w:val="22"/>
        </w:rPr>
        <w:t>. Despite the fact that all the focus group participants were active Internet users, they still mentioned low Internet penetration in the villages.</w:t>
      </w:r>
    </w:p>
    <w:p w:rsidR="003F30AE" w:rsidRPr="00740632" w:rsidRDefault="003F30AE" w:rsidP="003F30AE">
      <w:pPr>
        <w:pStyle w:val="NormalWeb"/>
        <w:rPr>
          <w:rFonts w:ascii="Sylfaen" w:hAnsi="Sylfaen" w:cs="Gill Sans"/>
          <w:sz w:val="22"/>
          <w:szCs w:val="22"/>
        </w:rPr>
      </w:pPr>
      <w:r>
        <w:rPr>
          <w:rFonts w:ascii="Gill Sans" w:hAnsi="Gill Sans" w:cs="Gill Sans"/>
          <w:b/>
          <w:sz w:val="22"/>
          <w:szCs w:val="22"/>
        </w:rPr>
        <w:t>Electronic mechanism for submitting e</w:t>
      </w:r>
      <w:r w:rsidRPr="00FF575A">
        <w:rPr>
          <w:rFonts w:ascii="Gill Sans" w:hAnsi="Gill Sans" w:cs="Gill Sans"/>
          <w:b/>
          <w:sz w:val="22"/>
          <w:szCs w:val="22"/>
        </w:rPr>
        <w:t>-petitions</w:t>
      </w:r>
      <w:r w:rsidR="00DD62AE">
        <w:rPr>
          <w:rFonts w:ascii="Gill Sans" w:hAnsi="Gill Sans" w:cs="Gill Sans"/>
          <w:sz w:val="22"/>
          <w:szCs w:val="22"/>
        </w:rPr>
        <w:t xml:space="preserve"> did not become functional </w:t>
      </w:r>
      <w:r>
        <w:rPr>
          <w:rFonts w:ascii="Gill Sans" w:hAnsi="Gill Sans" w:cs="Gill Sans"/>
          <w:sz w:val="22"/>
          <w:szCs w:val="22"/>
        </w:rPr>
        <w:t>within the NAP 2016-2018 cycle. Despite incorporating the portal on the new website, the online petition mechanism is not in service and as a result, the e-library of pending, awarded and rejected online petitions is empty</w:t>
      </w:r>
      <w:r>
        <w:rPr>
          <w:rStyle w:val="EndnoteReference"/>
          <w:rFonts w:ascii="Gill Sans" w:hAnsi="Gill Sans" w:cs="Gill Sans"/>
          <w:sz w:val="22"/>
          <w:szCs w:val="22"/>
        </w:rPr>
        <w:endnoteReference w:id="117"/>
      </w:r>
      <w:r>
        <w:rPr>
          <w:rFonts w:ascii="Gill Sans" w:hAnsi="Gill Sans" w:cs="Gill Sans"/>
          <w:sz w:val="22"/>
          <w:szCs w:val="22"/>
        </w:rPr>
        <w:t>. The Assembly’s plans for launching the electronic portal are vague and might require development of a new website</w:t>
      </w:r>
      <w:r>
        <w:rPr>
          <w:rStyle w:val="EndnoteReference"/>
          <w:rFonts w:ascii="Gill Sans" w:hAnsi="Gill Sans" w:cs="Gill Sans"/>
          <w:sz w:val="22"/>
          <w:szCs w:val="22"/>
        </w:rPr>
        <w:endnoteReference w:id="118"/>
      </w:r>
      <w:r>
        <w:rPr>
          <w:rFonts w:ascii="Gill Sans" w:hAnsi="Gill Sans" w:cs="Gill Sans"/>
          <w:sz w:val="22"/>
          <w:szCs w:val="22"/>
        </w:rPr>
        <w:t xml:space="preserve">. TI representative also stated that there are no legal frameworks for submitting electronic petitions. The citizens are still able to submit hardcopies to the Assembly; however, the overall </w:t>
      </w:r>
      <w:r w:rsidR="00DD62AE">
        <w:rPr>
          <w:rFonts w:ascii="Gill Sans" w:hAnsi="Gill Sans" w:cs="Gill Sans"/>
          <w:sz w:val="22"/>
          <w:szCs w:val="22"/>
        </w:rPr>
        <w:t>numbers remain low</w:t>
      </w:r>
      <w:r w:rsidRPr="00255412">
        <w:rPr>
          <w:rFonts w:ascii="Gill Sans" w:hAnsi="Gill Sans" w:cs="Gill Sans"/>
          <w:sz w:val="22"/>
          <w:szCs w:val="22"/>
        </w:rPr>
        <w:t>: as in 2017, 3 petitions were submitted to the Assembly in 2018</w:t>
      </w:r>
      <w:r w:rsidRPr="00255412">
        <w:rPr>
          <w:rStyle w:val="EndnoteReference"/>
          <w:rFonts w:ascii="Gill Sans" w:hAnsi="Gill Sans" w:cs="Gill Sans"/>
          <w:sz w:val="22"/>
          <w:szCs w:val="22"/>
        </w:rPr>
        <w:endnoteReference w:id="119"/>
      </w:r>
      <w:r w:rsidRPr="00255412">
        <w:rPr>
          <w:rFonts w:ascii="Gill Sans" w:hAnsi="Gill Sans" w:cs="Gill Sans"/>
          <w:sz w:val="22"/>
          <w:szCs w:val="22"/>
        </w:rPr>
        <w:t>.</w:t>
      </w:r>
      <w:r>
        <w:rPr>
          <w:rFonts w:ascii="Sylfaen" w:hAnsi="Sylfaen" w:cs="Gill Sans"/>
          <w:sz w:val="22"/>
          <w:szCs w:val="22"/>
          <w:lang w:val="ka-GE"/>
        </w:rPr>
        <w:t xml:space="preserve"> </w:t>
      </w:r>
      <w:r w:rsidRPr="00740632">
        <w:rPr>
          <w:rFonts w:ascii="Gill Sans" w:hAnsi="Gill Sans" w:cs="Gill Sans"/>
          <w:sz w:val="22"/>
          <w:szCs w:val="22"/>
        </w:rPr>
        <w:t xml:space="preserve">Some of the </w:t>
      </w:r>
      <w:r>
        <w:rPr>
          <w:rFonts w:ascii="Gill Sans" w:hAnsi="Gill Sans" w:cs="Gill Sans"/>
          <w:sz w:val="22"/>
          <w:szCs w:val="22"/>
        </w:rPr>
        <w:t>proposals requested developing proper drinking</w:t>
      </w:r>
      <w:r w:rsidRPr="00740632">
        <w:rPr>
          <w:rFonts w:ascii="Gill Sans" w:hAnsi="Gill Sans" w:cs="Gill Sans"/>
          <w:sz w:val="22"/>
          <w:szCs w:val="22"/>
        </w:rPr>
        <w:t xml:space="preserve"> </w:t>
      </w:r>
      <w:r w:rsidRPr="007F7B10">
        <w:rPr>
          <w:rFonts w:ascii="Gill Sans" w:hAnsi="Gill Sans" w:cs="Gill Sans"/>
          <w:sz w:val="22"/>
          <w:szCs w:val="22"/>
        </w:rPr>
        <w:t>water tanks</w:t>
      </w:r>
      <w:r>
        <w:rPr>
          <w:rFonts w:ascii="Gill Sans" w:hAnsi="Gill Sans" w:cs="Gill Sans"/>
          <w:sz w:val="22"/>
          <w:szCs w:val="22"/>
        </w:rPr>
        <w:t xml:space="preserve"> in two villages, </w:t>
      </w:r>
      <w:r w:rsidRPr="00740632">
        <w:rPr>
          <w:rFonts w:ascii="Gill Sans" w:hAnsi="Gill Sans" w:cs="Gill Sans"/>
          <w:sz w:val="22"/>
          <w:szCs w:val="22"/>
        </w:rPr>
        <w:t>fixing street lights</w:t>
      </w:r>
      <w:r>
        <w:rPr>
          <w:rFonts w:ascii="Gill Sans" w:hAnsi="Gill Sans" w:cs="Gill Sans"/>
          <w:sz w:val="22"/>
          <w:szCs w:val="22"/>
        </w:rPr>
        <w:t xml:space="preserve"> and other infrastructural problems</w:t>
      </w:r>
      <w:r w:rsidRPr="00740632">
        <w:rPr>
          <w:rFonts w:ascii="Gill Sans" w:hAnsi="Gill Sans" w:cs="Gill Sans"/>
          <w:sz w:val="22"/>
          <w:szCs w:val="22"/>
        </w:rPr>
        <w:t xml:space="preserve">, </w:t>
      </w:r>
      <w:r>
        <w:rPr>
          <w:rFonts w:ascii="Gill Sans" w:hAnsi="Gill Sans" w:cs="Gill Sans"/>
          <w:sz w:val="22"/>
          <w:szCs w:val="22"/>
        </w:rPr>
        <w:t>managing waste, installing public litter bins and</w:t>
      </w:r>
      <w:r w:rsidRPr="00740632">
        <w:rPr>
          <w:rFonts w:ascii="Gill Sans" w:hAnsi="Gill Sans" w:cs="Gill Sans"/>
          <w:sz w:val="22"/>
          <w:szCs w:val="22"/>
        </w:rPr>
        <w:t xml:space="preserve"> </w:t>
      </w:r>
      <w:r w:rsidR="00DD62AE">
        <w:rPr>
          <w:rFonts w:ascii="Gill Sans" w:hAnsi="Gill Sans" w:cs="Gill Sans"/>
          <w:sz w:val="22"/>
          <w:szCs w:val="22"/>
        </w:rPr>
        <w:t xml:space="preserve">establishing </w:t>
      </w:r>
      <w:r w:rsidRPr="00740632">
        <w:rPr>
          <w:rFonts w:ascii="Gill Sans" w:hAnsi="Gill Sans" w:cs="Gill Sans"/>
          <w:sz w:val="22"/>
          <w:szCs w:val="22"/>
        </w:rPr>
        <w:t xml:space="preserve">shelters for </w:t>
      </w:r>
      <w:r>
        <w:rPr>
          <w:rFonts w:ascii="Gill Sans" w:hAnsi="Gill Sans" w:cs="Gill Sans"/>
          <w:sz w:val="22"/>
          <w:szCs w:val="22"/>
        </w:rPr>
        <w:t xml:space="preserve">stray dogs. The first initiative was fully funded, while the remaining </w:t>
      </w:r>
      <w:r w:rsidR="00DD62AE">
        <w:rPr>
          <w:rFonts w:ascii="Gill Sans" w:hAnsi="Gill Sans" w:cs="Gill Sans"/>
          <w:sz w:val="22"/>
          <w:szCs w:val="22"/>
        </w:rPr>
        <w:t xml:space="preserve">proposals from </w:t>
      </w:r>
      <w:r>
        <w:rPr>
          <w:rFonts w:ascii="Gill Sans" w:hAnsi="Gill Sans" w:cs="Gill Sans"/>
          <w:sz w:val="22"/>
          <w:szCs w:val="22"/>
        </w:rPr>
        <w:t>petitions were either partially funded or rejected</w:t>
      </w:r>
      <w:r>
        <w:rPr>
          <w:rStyle w:val="EndnoteReference"/>
          <w:rFonts w:ascii="Gill Sans" w:hAnsi="Gill Sans" w:cs="Gill Sans"/>
          <w:sz w:val="22"/>
          <w:szCs w:val="22"/>
        </w:rPr>
        <w:endnoteReference w:id="120"/>
      </w:r>
      <w:r>
        <w:rPr>
          <w:rFonts w:ascii="Gill Sans" w:hAnsi="Gill Sans" w:cs="Gill Sans"/>
          <w:sz w:val="22"/>
          <w:szCs w:val="22"/>
        </w:rPr>
        <w:t>.</w:t>
      </w:r>
    </w:p>
    <w:p w:rsidR="003F30AE" w:rsidRPr="00DD62AE" w:rsidRDefault="003F30AE" w:rsidP="003F30AE">
      <w:pPr>
        <w:pStyle w:val="NormalWeb"/>
        <w:rPr>
          <w:rFonts w:ascii="Gill Sans" w:hAnsi="Gill Sans" w:cs="Gill Sans"/>
          <w:color w:val="222222"/>
          <w:sz w:val="22"/>
          <w:lang w:val="en-US" w:eastAsia="en-US"/>
        </w:rPr>
      </w:pPr>
      <w:r w:rsidRPr="00DD62AE">
        <w:rPr>
          <w:rFonts w:ascii="Gill Sans" w:hAnsi="Gill Sans" w:cs="Gill Sans"/>
          <w:color w:val="222222"/>
          <w:sz w:val="22"/>
          <w:lang w:val="en-US" w:eastAsia="en-US"/>
        </w:rPr>
        <w:t>As the focus group results showed, among the reasons for low engagement can be lack of public awareness on formal procedures, as well as skepticism about the local government to take citizens’ initiatives into consideration. A focus group participant recalled her story of working on an initiative to reduce the public transport travel cost for students, which took around six years of persistent negotiations and was made free in September 2018. Another attendee advised the village representatives to proactively reach out for the population and inform them about the ways to engage in the local governance.</w:t>
      </w:r>
    </w:p>
    <w:p w:rsidR="003F30AE" w:rsidRPr="00DD62AE" w:rsidRDefault="003F30AE" w:rsidP="003F30AE">
      <w:pPr>
        <w:pStyle w:val="NormalWeb"/>
        <w:rPr>
          <w:rFonts w:ascii="Gill Sans" w:hAnsi="Gill Sans" w:cs="Gill Sans"/>
          <w:color w:val="222222"/>
          <w:sz w:val="22"/>
          <w:lang w:val="en-US" w:eastAsia="en-US"/>
        </w:rPr>
      </w:pPr>
      <w:r w:rsidRPr="00DD62AE">
        <w:rPr>
          <w:rFonts w:ascii="Gill Sans" w:hAnsi="Gill Sans" w:cs="Gill Sans"/>
          <w:color w:val="222222"/>
          <w:sz w:val="22"/>
          <w:lang w:val="en-US" w:eastAsia="en-US"/>
        </w:rPr>
        <w:t>The majority of the focus group participants did not know about either of the services. 2 participants out of 6 had received SMS updates, while those, who had never received them, said they would be interested to get such text messages. So, in order to increase impact of Zugdidi-INFO, it is important to raise awareness about the service and offer the public different registration methods.</w:t>
      </w:r>
    </w:p>
    <w:p w:rsidR="003F30AE" w:rsidRDefault="003F30AE" w:rsidP="00FE5928">
      <w:pPr>
        <w:pStyle w:val="Heading3"/>
      </w:pPr>
      <w:bookmarkStart w:id="110" w:name="_Toc529199398"/>
      <w:bookmarkStart w:id="111" w:name="_Toc529997053"/>
      <w:bookmarkStart w:id="112" w:name="_Toc530910746"/>
      <w:r w:rsidRPr="00760EAC">
        <w:t>Carried Forward?</w:t>
      </w:r>
      <w:bookmarkEnd w:id="110"/>
      <w:bookmarkEnd w:id="111"/>
      <w:bookmarkEnd w:id="112"/>
    </w:p>
    <w:p w:rsidR="003F30AE" w:rsidRDefault="003F30AE" w:rsidP="003F30AE">
      <w:r>
        <w:t xml:space="preserve">This commitment was substantially completed by the end of term and was not carried forward within the new Action Plan 2018-2019; however, Zugdidi Municipality </w:t>
      </w:r>
      <w:r w:rsidR="00503C69">
        <w:t>Assembly made</w:t>
      </w:r>
      <w:r>
        <w:t xml:space="preserve"> </w:t>
      </w:r>
      <w:r w:rsidR="006C0B0D">
        <w:t xml:space="preserve">a </w:t>
      </w:r>
      <w:r>
        <w:t>new commitment to introduce a Mobile Application for citizens to increase their access to information</w:t>
      </w:r>
      <w:r>
        <w:rPr>
          <w:rStyle w:val="EndnoteReference"/>
        </w:rPr>
        <w:endnoteReference w:id="121"/>
      </w:r>
      <w:r>
        <w:t xml:space="preserve">. This multifunctional app intends to </w:t>
      </w:r>
      <w:r w:rsidR="002037DB">
        <w:t>provide</w:t>
      </w:r>
      <w:r>
        <w:t xml:space="preserve"> updates</w:t>
      </w:r>
      <w:r w:rsidR="000A13F6">
        <w:t xml:space="preserve"> on the assembly meetings and </w:t>
      </w:r>
      <w:r w:rsidR="00D13CFF">
        <w:t xml:space="preserve">the </w:t>
      </w:r>
      <w:r w:rsidR="000A13F6">
        <w:t>issues to be discussed</w:t>
      </w:r>
      <w:r w:rsidR="00D13CFF">
        <w:t xml:space="preserve"> there</w:t>
      </w:r>
      <w:r w:rsidR="000A13F6">
        <w:t>,</w:t>
      </w:r>
      <w:r w:rsidR="002037DB">
        <w:t xml:space="preserve"> while it </w:t>
      </w:r>
      <w:r w:rsidR="000A13F6">
        <w:t>will</w:t>
      </w:r>
      <w:r w:rsidR="002037DB">
        <w:t xml:space="preserve"> also</w:t>
      </w:r>
      <w:r w:rsidR="000A13F6">
        <w:t xml:space="preserve"> grant access </w:t>
      </w:r>
      <w:r w:rsidR="000A13F6">
        <w:lastRenderedPageBreak/>
        <w:t>to the calendar</w:t>
      </w:r>
      <w:r w:rsidR="004B2634">
        <w:t xml:space="preserve"> of</w:t>
      </w:r>
      <w:r w:rsidR="002037DB">
        <w:t xml:space="preserve"> cultural and sports events, and</w:t>
      </w:r>
      <w:r w:rsidR="004B2634">
        <w:t xml:space="preserve"> dates for</w:t>
      </w:r>
      <w:r w:rsidR="002037DB">
        <w:t xml:space="preserve"> implementing infrastructural projects.</w:t>
      </w:r>
      <w:r>
        <w:t xml:space="preserve"> </w:t>
      </w:r>
      <w:r w:rsidR="007105F6">
        <w:t>NAP 2018-2019 includes another commitment for Zugdidi, which is the development of</w:t>
      </w:r>
      <w:r w:rsidR="000A13F6">
        <w:t xml:space="preserve"> an online portal </w:t>
      </w:r>
      <w:r w:rsidR="006C0B0D">
        <w:t xml:space="preserve">allowing </w:t>
      </w:r>
      <w:r w:rsidR="00D13CFF">
        <w:t xml:space="preserve">citizens </w:t>
      </w:r>
      <w:r w:rsidR="006C0B0D">
        <w:t>to</w:t>
      </w:r>
      <w:r w:rsidR="000A13F6">
        <w:t xml:space="preserve"> </w:t>
      </w:r>
      <w:r>
        <w:t xml:space="preserve">register proposals to the Zugdidi Mayor, who will be responsible to provide feedback on </w:t>
      </w:r>
      <w:r w:rsidR="007105F6">
        <w:t>them</w:t>
      </w:r>
      <w:r>
        <w:rPr>
          <w:rStyle w:val="EndnoteReference"/>
        </w:rPr>
        <w:endnoteReference w:id="122"/>
      </w:r>
      <w:r>
        <w:t>.</w:t>
      </w:r>
    </w:p>
    <w:p w:rsidR="003F30AE" w:rsidRDefault="003F30AE" w:rsidP="003F30AE"/>
    <w:p w:rsidR="003F30AE" w:rsidRDefault="003F30AE" w:rsidP="003F30AE">
      <w:pPr>
        <w:rPr>
          <w:szCs w:val="22"/>
        </w:rPr>
      </w:pPr>
      <w:r>
        <w:rPr>
          <w:szCs w:val="22"/>
        </w:rPr>
        <w:t xml:space="preserve">To improve citizen engagement in local governance, the IRM researcher recommends that the Zugdidi Municipal Assembly and the Town Hall take measures to fully utilize tools created through this commitment and in addition, explore ways of offline engagement of citizens, particularly in villages, where internet penetration is lower. </w:t>
      </w:r>
    </w:p>
    <w:p w:rsidR="003F30AE" w:rsidRDefault="003F30AE" w:rsidP="003F30AE">
      <w:pPr>
        <w:rPr>
          <w:szCs w:val="22"/>
        </w:rPr>
      </w:pPr>
    </w:p>
    <w:p w:rsidR="003F30AE" w:rsidRPr="000C3DFD" w:rsidRDefault="003F30AE" w:rsidP="003F30AE">
      <w:pPr>
        <w:pStyle w:val="ListParagraph"/>
        <w:numPr>
          <w:ilvl w:val="0"/>
          <w:numId w:val="35"/>
        </w:numPr>
        <w:rPr>
          <w:szCs w:val="22"/>
        </w:rPr>
      </w:pPr>
      <w:r>
        <w:rPr>
          <w:szCs w:val="22"/>
        </w:rPr>
        <w:t>A</w:t>
      </w:r>
      <w:r w:rsidRPr="00BA3697">
        <w:rPr>
          <w:szCs w:val="22"/>
        </w:rPr>
        <w:t xml:space="preserve"> standardized registration </w:t>
      </w:r>
      <w:r>
        <w:rPr>
          <w:szCs w:val="22"/>
        </w:rPr>
        <w:t>form could be introduced</w:t>
      </w:r>
      <w:r w:rsidRPr="00BA3697">
        <w:rPr>
          <w:szCs w:val="22"/>
        </w:rPr>
        <w:t xml:space="preserve"> for Zugdidi-INFO service, allow</w:t>
      </w:r>
      <w:r>
        <w:rPr>
          <w:szCs w:val="22"/>
        </w:rPr>
        <w:t>ing</w:t>
      </w:r>
      <w:r w:rsidRPr="00BA3697">
        <w:rPr>
          <w:szCs w:val="22"/>
        </w:rPr>
        <w:t xml:space="preserve"> citizens to indicate </w:t>
      </w:r>
      <w:r>
        <w:rPr>
          <w:szCs w:val="22"/>
        </w:rPr>
        <w:t>areas</w:t>
      </w:r>
      <w:r w:rsidRPr="00BA3697">
        <w:rPr>
          <w:szCs w:val="22"/>
        </w:rPr>
        <w:t xml:space="preserve"> of </w:t>
      </w:r>
      <w:r>
        <w:rPr>
          <w:szCs w:val="22"/>
        </w:rPr>
        <w:t>interests to</w:t>
      </w:r>
      <w:r w:rsidRPr="00BA3697">
        <w:rPr>
          <w:szCs w:val="22"/>
        </w:rPr>
        <w:t xml:space="preserve"> receive </w:t>
      </w:r>
      <w:r>
        <w:rPr>
          <w:szCs w:val="22"/>
        </w:rPr>
        <w:t xml:space="preserve">the </w:t>
      </w:r>
      <w:r w:rsidRPr="00BA3697">
        <w:rPr>
          <w:szCs w:val="22"/>
        </w:rPr>
        <w:t xml:space="preserve">relevant updates. </w:t>
      </w:r>
    </w:p>
    <w:p w:rsidR="003F30AE" w:rsidRPr="00BA3697" w:rsidRDefault="003F30AE" w:rsidP="003F30AE">
      <w:pPr>
        <w:pStyle w:val="ListParagraph"/>
        <w:numPr>
          <w:ilvl w:val="0"/>
          <w:numId w:val="35"/>
        </w:numPr>
        <w:rPr>
          <w:szCs w:val="22"/>
        </w:rPr>
      </w:pPr>
      <w:r>
        <w:rPr>
          <w:szCs w:val="22"/>
        </w:rPr>
        <w:t>In order to</w:t>
      </w:r>
      <w:r w:rsidRPr="00BA3697">
        <w:rPr>
          <w:szCs w:val="22"/>
        </w:rPr>
        <w:t xml:space="preserve"> maximize the effect</w:t>
      </w:r>
      <w:r>
        <w:rPr>
          <w:szCs w:val="22"/>
        </w:rPr>
        <w:t xml:space="preserve"> of</w:t>
      </w:r>
      <w:r w:rsidRPr="00BA3697">
        <w:rPr>
          <w:szCs w:val="22"/>
        </w:rPr>
        <w:t xml:space="preserve"> SMS service, conduct awareness-raising campaign</w:t>
      </w:r>
      <w:r>
        <w:rPr>
          <w:szCs w:val="22"/>
        </w:rPr>
        <w:t xml:space="preserve">s allowing citizens to register at place, especially in rural areas, where nearly half of the population </w:t>
      </w:r>
      <w:r w:rsidRPr="00BA3697">
        <w:rPr>
          <w:szCs w:val="22"/>
        </w:rPr>
        <w:t>never uses the Internet</w:t>
      </w:r>
      <w:r>
        <w:rPr>
          <w:rStyle w:val="EndnoteReference"/>
          <w:szCs w:val="22"/>
        </w:rPr>
        <w:endnoteReference w:id="123"/>
      </w:r>
      <w:r w:rsidRPr="00BA3697">
        <w:rPr>
          <w:szCs w:val="22"/>
        </w:rPr>
        <w:t>.</w:t>
      </w:r>
    </w:p>
    <w:p w:rsidR="003F30AE" w:rsidRDefault="003F30AE" w:rsidP="003F30AE">
      <w:pPr>
        <w:pStyle w:val="ListParagraph"/>
        <w:numPr>
          <w:ilvl w:val="0"/>
          <w:numId w:val="35"/>
        </w:numPr>
        <w:rPr>
          <w:szCs w:val="22"/>
        </w:rPr>
      </w:pPr>
      <w:r>
        <w:rPr>
          <w:szCs w:val="22"/>
        </w:rPr>
        <w:t xml:space="preserve">The village representatives could act as mediators between population and the local governing body, through organizing regular meetings. </w:t>
      </w:r>
    </w:p>
    <w:p w:rsidR="003F30AE" w:rsidRDefault="003F30AE" w:rsidP="003F30AE">
      <w:pPr>
        <w:rPr>
          <w:szCs w:val="22"/>
        </w:rPr>
      </w:pPr>
    </w:p>
    <w:p w:rsidR="003F30AE" w:rsidRPr="00151E4D" w:rsidRDefault="003F30AE" w:rsidP="003F30AE">
      <w:pPr>
        <w:rPr>
          <w:szCs w:val="22"/>
        </w:rPr>
        <w:sectPr w:rsidR="003F30AE" w:rsidRPr="00151E4D" w:rsidSect="003F30AE">
          <w:endnotePr>
            <w:numFmt w:val="decimal"/>
            <w:numRestart w:val="eachSect"/>
          </w:endnotePr>
          <w:pgSz w:w="11900" w:h="16840"/>
          <w:pgMar w:top="1440" w:right="1800" w:bottom="1440" w:left="1800" w:header="708" w:footer="708" w:gutter="0"/>
          <w:cols w:space="708"/>
          <w:docGrid w:linePitch="360"/>
        </w:sectPr>
      </w:pPr>
    </w:p>
    <w:p w:rsidR="003F30AE" w:rsidRPr="00A5200D" w:rsidRDefault="003F30AE" w:rsidP="003F30AE">
      <w:pPr>
        <w:pStyle w:val="Heading1"/>
        <w:rPr>
          <w:sz w:val="26"/>
          <w:szCs w:val="26"/>
        </w:rPr>
      </w:pPr>
      <w:bookmarkStart w:id="113" w:name="_Toc530910747"/>
      <w:bookmarkStart w:id="114" w:name="_Toc409220395"/>
      <w:r w:rsidRPr="00A5200D">
        <w:rPr>
          <w:sz w:val="26"/>
          <w:szCs w:val="26"/>
        </w:rPr>
        <w:lastRenderedPageBreak/>
        <w:t>23. Transparency of Ozurgeti Municipality Assembly meetings</w:t>
      </w:r>
      <w:bookmarkEnd w:id="113"/>
      <w:bookmarkEnd w:id="114"/>
      <w:r w:rsidRPr="00A5200D">
        <w:rPr>
          <w:sz w:val="26"/>
          <w:szCs w:val="26"/>
        </w:rPr>
        <w:t xml:space="preserve"> </w:t>
      </w:r>
    </w:p>
    <w:p w:rsidR="00A5200D" w:rsidRDefault="003F30AE" w:rsidP="003F30AE">
      <w:pPr>
        <w:tabs>
          <w:tab w:val="clear" w:pos="2880"/>
        </w:tabs>
        <w:spacing w:before="100" w:beforeAutospacing="1" w:after="100" w:afterAutospacing="1"/>
        <w:rPr>
          <w:rFonts w:ascii="Times" w:hAnsi="Times" w:cs="Times New Roman"/>
          <w:color w:val="auto"/>
          <w:sz w:val="20"/>
        </w:rPr>
      </w:pPr>
      <w:r w:rsidRPr="00806D9D">
        <w:rPr>
          <w:b/>
          <w:bCs/>
          <w:color w:val="auto"/>
          <w:szCs w:val="22"/>
        </w:rPr>
        <w:t xml:space="preserve">Commitment Text: </w:t>
      </w:r>
    </w:p>
    <w:p w:rsidR="00A5200D" w:rsidRDefault="003F30AE" w:rsidP="003F30AE">
      <w:p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Ozurgeti Municipality Assembly is actively working to improve transparency, accountability and public participation and to introduce modern technologies in the Assembly activities. </w:t>
      </w:r>
    </w:p>
    <w:p w:rsidR="003F30AE" w:rsidRPr="00806D9D" w:rsidRDefault="003F30AE" w:rsidP="003F30AE">
      <w:p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In the framework of this commitment, Ozurgeti Municipality Assembly shall ensure direct transmission of assembly meetings and uploading of their complete video recordings on the Ozurgeti Municipality webpage. </w:t>
      </w:r>
    </w:p>
    <w:p w:rsidR="003F30AE" w:rsidRPr="00806D9D" w:rsidRDefault="003F30AE" w:rsidP="003F30AE">
      <w:p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The following innovations are envisaged by this commitment: </w:t>
      </w:r>
    </w:p>
    <w:p w:rsidR="003F30AE" w:rsidRPr="00806D9D" w:rsidRDefault="003F30AE"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During direct transmission citizens will be able to leave comments and questions, the number and the content of which will be publicly published by Assembly office, the results of the interaction will be reflected in the Assembly annual report.</w:t>
      </w:r>
      <w:r>
        <w:rPr>
          <w:i/>
          <w:iCs/>
          <w:color w:val="212121"/>
          <w:szCs w:val="22"/>
        </w:rPr>
        <w:br/>
      </w:r>
    </w:p>
    <w:p w:rsidR="003F30AE" w:rsidRPr="00806D9D" w:rsidRDefault="00E60731"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 </w:t>
      </w:r>
      <w:r w:rsidR="003F30AE" w:rsidRPr="00806D9D">
        <w:rPr>
          <w:i/>
          <w:iCs/>
          <w:color w:val="212121"/>
          <w:szCs w:val="22"/>
        </w:rPr>
        <w:t xml:space="preserve">Stakeholders’ groups will be created and with each member (employees of government, private or nongovernmental organizations and private persons) a form-memorandum will be drawn, providing members with relevant information. The system of SMS will also be introduced for these groups. The Assembly will also create a database so that information delivery will be systematic. </w:t>
      </w:r>
      <w:r w:rsidR="003F30AE">
        <w:rPr>
          <w:i/>
          <w:iCs/>
          <w:color w:val="212121"/>
          <w:szCs w:val="22"/>
        </w:rPr>
        <w:br/>
      </w:r>
    </w:p>
    <w:p w:rsidR="003F30AE" w:rsidRPr="00806D9D" w:rsidRDefault="003F30AE"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Population will be notified about the meetings and current services by email and SMS. Database of stakeholders will be created and those included in the database will receive information about the topics of their interest via special software.</w:t>
      </w:r>
      <w:r>
        <w:rPr>
          <w:i/>
          <w:iCs/>
          <w:color w:val="212121"/>
          <w:szCs w:val="22"/>
        </w:rPr>
        <w:br/>
      </w:r>
    </w:p>
    <w:p w:rsidR="003F30AE" w:rsidRPr="00806D9D" w:rsidRDefault="003F30AE"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Electronic interviews will be introduced; the results of which will be reflected by the Assembly in the normative acts.</w:t>
      </w:r>
      <w:r>
        <w:rPr>
          <w:i/>
          <w:iCs/>
          <w:color w:val="212121"/>
          <w:szCs w:val="22"/>
        </w:rPr>
        <w:br/>
      </w:r>
    </w:p>
    <w:p w:rsidR="003F30AE" w:rsidRPr="00806D9D" w:rsidRDefault="003F30AE"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In 28 territorial units of Ozurgeti Municipality, Centers of Civic Engagement will be set up and equipped with modern digital technologies (today similar centers function in 5 villages of the Municipality: Konchkati, Melekeduri, Likhauri, Tkhinvali and Bakhvi). </w:t>
      </w:r>
    </w:p>
    <w:p w:rsidR="003F30AE" w:rsidRPr="00FF6EB3" w:rsidRDefault="003F30AE" w:rsidP="003F30AE">
      <w:pPr>
        <w:tabs>
          <w:tab w:val="clear" w:pos="2880"/>
        </w:tabs>
        <w:spacing w:before="100" w:beforeAutospacing="1" w:after="100" w:afterAutospacing="1" w:line="360" w:lineRule="auto"/>
        <w:rPr>
          <w:color w:val="auto"/>
          <w:szCs w:val="22"/>
        </w:rPr>
      </w:pPr>
      <w:r w:rsidRPr="00806D9D">
        <w:rPr>
          <w:b/>
          <w:bCs/>
          <w:color w:val="auto"/>
          <w:szCs w:val="22"/>
        </w:rPr>
        <w:t xml:space="preserve">Responsible institution: </w:t>
      </w:r>
      <w:r w:rsidRPr="00806D9D">
        <w:rPr>
          <w:color w:val="auto"/>
          <w:szCs w:val="22"/>
        </w:rPr>
        <w:t xml:space="preserve">Ozurgeti Municipality Assembly </w:t>
      </w:r>
      <w:r>
        <w:rPr>
          <w:b/>
          <w:bCs/>
          <w:color w:val="auto"/>
          <w:szCs w:val="22"/>
        </w:rPr>
        <w:br/>
        <w:t xml:space="preserve">Supporting </w:t>
      </w:r>
      <w:r w:rsidRPr="00806D9D">
        <w:rPr>
          <w:b/>
          <w:bCs/>
          <w:color w:val="auto"/>
          <w:szCs w:val="22"/>
        </w:rPr>
        <w:t xml:space="preserve">institution(s): </w:t>
      </w:r>
      <w:r w:rsidRPr="00806D9D">
        <w:rPr>
          <w:color w:val="auto"/>
          <w:szCs w:val="22"/>
        </w:rPr>
        <w:t>None</w:t>
      </w:r>
      <w:r w:rsidRPr="00806D9D">
        <w:rPr>
          <w:color w:val="auto"/>
          <w:szCs w:val="22"/>
        </w:rPr>
        <w:br/>
      </w:r>
      <w:r w:rsidRPr="00806D9D">
        <w:rPr>
          <w:b/>
          <w:bCs/>
          <w:color w:val="auto"/>
          <w:szCs w:val="22"/>
        </w:rPr>
        <w:t xml:space="preserve">Start date: </w:t>
      </w:r>
      <w:r w:rsidRPr="00806D9D">
        <w:rPr>
          <w:color w:val="auto"/>
          <w:szCs w:val="22"/>
        </w:rPr>
        <w:t>September 2016</w:t>
      </w:r>
      <w:r w:rsidRPr="00806D9D">
        <w:rPr>
          <w:color w:val="auto"/>
          <w:szCs w:val="22"/>
        </w:rPr>
        <w:br/>
      </w:r>
      <w:r w:rsidRPr="00806D9D">
        <w:rPr>
          <w:b/>
          <w:bCs/>
          <w:color w:val="auto"/>
          <w:szCs w:val="22"/>
        </w:rPr>
        <w:t xml:space="preserve">End date: </w:t>
      </w:r>
      <w:r w:rsidRPr="00806D9D">
        <w:rPr>
          <w:color w:val="auto"/>
          <w:szCs w:val="22"/>
        </w:rPr>
        <w:t xml:space="preserve">December 2017 </w:t>
      </w:r>
    </w:p>
    <w:tbl>
      <w:tblPr>
        <w:tblpPr w:leftFromText="180" w:rightFromText="180" w:vertAnchor="text" w:horzAnchor="page" w:tblpX="1035" w:tblpY="420"/>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07"/>
        <w:gridCol w:w="406"/>
        <w:gridCol w:w="363"/>
        <w:gridCol w:w="435"/>
        <w:gridCol w:w="425"/>
        <w:gridCol w:w="426"/>
        <w:gridCol w:w="706"/>
        <w:gridCol w:w="450"/>
        <w:gridCol w:w="360"/>
        <w:gridCol w:w="450"/>
        <w:gridCol w:w="360"/>
        <w:gridCol w:w="540"/>
        <w:gridCol w:w="389"/>
        <w:gridCol w:w="540"/>
        <w:gridCol w:w="540"/>
        <w:gridCol w:w="432"/>
        <w:gridCol w:w="468"/>
        <w:gridCol w:w="450"/>
        <w:gridCol w:w="440"/>
        <w:gridCol w:w="343"/>
      </w:tblGrid>
      <w:tr w:rsidR="00E60731" w:rsidRPr="006E7C15" w:rsidTr="00846D2A">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E60731" w:rsidRPr="006E7C15" w:rsidRDefault="00E60731" w:rsidP="00846D2A">
            <w:pPr>
              <w:rPr>
                <w:color w:val="FFFFFF" w:themeColor="background1"/>
              </w:rPr>
            </w:pPr>
            <w:r w:rsidRPr="006E7C15">
              <w:rPr>
                <w:color w:val="FFFFFF" w:themeColor="background1"/>
              </w:rPr>
              <w:lastRenderedPageBreak/>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E60731" w:rsidRPr="006E7C15" w:rsidRDefault="00E60731" w:rsidP="00846D2A">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rsidR="00E60731" w:rsidRPr="006E7C15" w:rsidRDefault="00E60731" w:rsidP="00846D2A">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E60731" w:rsidRPr="006E7C15" w:rsidRDefault="00E60731" w:rsidP="00846D2A">
            <w:r w:rsidRPr="006E7C15">
              <w:t>Potential Impact</w:t>
            </w:r>
          </w:p>
        </w:tc>
        <w:tc>
          <w:tcPr>
            <w:tcW w:w="929" w:type="dxa"/>
            <w:gridSpan w:val="2"/>
            <w:vMerge w:val="restart"/>
            <w:tcBorders>
              <w:top w:val="single" w:sz="18" w:space="0" w:color="FFFFFF"/>
              <w:left w:val="single" w:sz="18" w:space="0" w:color="FFFFFF"/>
              <w:right w:val="single" w:sz="2" w:space="0" w:color="FFFFFF"/>
            </w:tcBorders>
            <w:shd w:val="clear" w:color="auto" w:fill="B8CCE4"/>
          </w:tcPr>
          <w:p w:rsidR="00E60731" w:rsidRPr="006E7C15" w:rsidRDefault="00E60731" w:rsidP="00846D2A">
            <w:r w:rsidRPr="006E7C15">
              <w:t>Completion</w:t>
            </w:r>
          </w:p>
        </w:tc>
        <w:tc>
          <w:tcPr>
            <w:tcW w:w="1080" w:type="dxa"/>
            <w:gridSpan w:val="2"/>
            <w:tcBorders>
              <w:top w:val="single" w:sz="18" w:space="0" w:color="FFFFFF"/>
              <w:left w:val="single" w:sz="2" w:space="0" w:color="FFFFFF"/>
              <w:bottom w:val="single" w:sz="2" w:space="0" w:color="000000"/>
              <w:right w:val="single" w:sz="18" w:space="0" w:color="FFFFFF"/>
            </w:tcBorders>
            <w:shd w:val="clear" w:color="auto" w:fill="B8CCE4"/>
          </w:tcPr>
          <w:p w:rsidR="00E60731" w:rsidRPr="006E7C15" w:rsidRDefault="00E60731" w:rsidP="00846D2A">
            <w:r w:rsidRPr="006E7C15">
              <w:t>Midterm</w:t>
            </w:r>
          </w:p>
        </w:tc>
        <w:tc>
          <w:tcPr>
            <w:tcW w:w="2133" w:type="dxa"/>
            <w:gridSpan w:val="5"/>
            <w:vMerge w:val="restart"/>
            <w:tcBorders>
              <w:top w:val="single" w:sz="18" w:space="0" w:color="FFFFFF"/>
              <w:left w:val="single" w:sz="18" w:space="0" w:color="FFFFFF"/>
              <w:right w:val="single" w:sz="18" w:space="0" w:color="FFFFFF"/>
            </w:tcBorders>
            <w:shd w:val="clear" w:color="auto" w:fill="D99594"/>
          </w:tcPr>
          <w:p w:rsidR="00E60731" w:rsidRPr="006E7C15" w:rsidRDefault="00E60731" w:rsidP="00846D2A">
            <w:r w:rsidRPr="006E7C15">
              <w:t xml:space="preserve">Did It Open </w:t>
            </w:r>
            <w:r w:rsidRPr="007B25C0">
              <w:t>Government?</w:t>
            </w:r>
          </w:p>
        </w:tc>
      </w:tr>
      <w:tr w:rsidR="00E60731" w:rsidRPr="006E7C15" w:rsidTr="00846D2A">
        <w:trPr>
          <w:trHeight w:val="373"/>
        </w:trPr>
        <w:tc>
          <w:tcPr>
            <w:tcW w:w="1596" w:type="dxa"/>
            <w:vMerge/>
            <w:tcBorders>
              <w:left w:val="single" w:sz="4" w:space="0" w:color="FFFFFF"/>
              <w:right w:val="single" w:sz="18" w:space="0" w:color="FFFFFF"/>
            </w:tcBorders>
            <w:shd w:val="clear" w:color="auto" w:fill="000000"/>
            <w:vAlign w:val="center"/>
          </w:tcPr>
          <w:p w:rsidR="00E60731" w:rsidRPr="006E7C15" w:rsidRDefault="00E60731" w:rsidP="00846D2A">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E60731" w:rsidRPr="006E7C15" w:rsidRDefault="00E60731" w:rsidP="00846D2A"/>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rsidR="00E60731" w:rsidRPr="006E7C15" w:rsidRDefault="00E60731" w:rsidP="00846D2A"/>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E60731" w:rsidRPr="006E7C15" w:rsidRDefault="00E60731" w:rsidP="00846D2A"/>
        </w:tc>
        <w:tc>
          <w:tcPr>
            <w:tcW w:w="929" w:type="dxa"/>
            <w:gridSpan w:val="2"/>
            <w:vMerge/>
            <w:tcBorders>
              <w:left w:val="single" w:sz="18" w:space="0" w:color="FFFFFF"/>
              <w:bottom w:val="single" w:sz="18" w:space="0" w:color="FFFFFF"/>
              <w:right w:val="single" w:sz="2" w:space="0" w:color="FFFFFF"/>
            </w:tcBorders>
            <w:shd w:val="clear" w:color="auto" w:fill="B8CCE4"/>
          </w:tcPr>
          <w:p w:rsidR="00E60731" w:rsidRPr="006E7C15" w:rsidRDefault="00E60731" w:rsidP="00846D2A"/>
        </w:tc>
        <w:tc>
          <w:tcPr>
            <w:tcW w:w="1080" w:type="dxa"/>
            <w:gridSpan w:val="2"/>
            <w:tcBorders>
              <w:top w:val="single" w:sz="2" w:space="0" w:color="000000"/>
              <w:left w:val="single" w:sz="2" w:space="0" w:color="FFFFFF"/>
              <w:bottom w:val="single" w:sz="18" w:space="0" w:color="FFFFFF"/>
              <w:right w:val="single" w:sz="18" w:space="0" w:color="FFFFFF"/>
            </w:tcBorders>
            <w:shd w:val="clear" w:color="auto" w:fill="B8CCE4"/>
          </w:tcPr>
          <w:p w:rsidR="00E60731" w:rsidRPr="006E7C15" w:rsidRDefault="00E60731" w:rsidP="00846D2A">
            <w:r w:rsidRPr="006E7C15">
              <w:t>End of Term</w:t>
            </w:r>
          </w:p>
        </w:tc>
        <w:tc>
          <w:tcPr>
            <w:tcW w:w="2133" w:type="dxa"/>
            <w:gridSpan w:val="5"/>
            <w:vMerge/>
            <w:tcBorders>
              <w:left w:val="single" w:sz="18" w:space="0" w:color="FFFFFF"/>
              <w:bottom w:val="single" w:sz="18" w:space="0" w:color="FFFFFF"/>
              <w:right w:val="single" w:sz="18" w:space="0" w:color="FFFFFF"/>
            </w:tcBorders>
            <w:shd w:val="clear" w:color="auto" w:fill="D99594"/>
          </w:tcPr>
          <w:p w:rsidR="00E60731" w:rsidRPr="006E7C15" w:rsidRDefault="00E60731" w:rsidP="00846D2A"/>
        </w:tc>
      </w:tr>
      <w:tr w:rsidR="00E60731" w:rsidRPr="006E7C15" w:rsidTr="00846D2A">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E60731" w:rsidRPr="006E7C15" w:rsidRDefault="00E60731" w:rsidP="00846D2A">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E60731" w:rsidRPr="006E7C15" w:rsidRDefault="00E60731" w:rsidP="00846D2A">
            <w:r w:rsidRPr="006E7C15">
              <w:t>None</w:t>
            </w:r>
          </w:p>
        </w:tc>
        <w:tc>
          <w:tcPr>
            <w:tcW w:w="407"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E60731" w:rsidRPr="006E7C15" w:rsidRDefault="00E60731" w:rsidP="00846D2A">
            <w:r w:rsidRPr="006E7C15">
              <w:t>Low</w:t>
            </w:r>
          </w:p>
        </w:tc>
        <w:tc>
          <w:tcPr>
            <w:tcW w:w="406"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E60731" w:rsidRPr="006E7C15" w:rsidRDefault="00E60731" w:rsidP="00846D2A">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E60731" w:rsidRPr="006E7C15" w:rsidRDefault="00E60731" w:rsidP="00846D2A">
            <w:r w:rsidRPr="006E7C15">
              <w:t>High</w:t>
            </w:r>
          </w:p>
        </w:tc>
        <w:tc>
          <w:tcPr>
            <w:tcW w:w="43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E60731" w:rsidRPr="006E7C15" w:rsidRDefault="00E60731" w:rsidP="00846D2A">
            <w:r w:rsidRPr="006E7C15">
              <w:t>Access to Information</w:t>
            </w:r>
          </w:p>
        </w:tc>
        <w:tc>
          <w:tcPr>
            <w:tcW w:w="42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E60731" w:rsidRPr="006E7C15" w:rsidRDefault="00E60731" w:rsidP="00846D2A">
            <w:r w:rsidRPr="006E7C15">
              <w:t>Civic Participation</w:t>
            </w:r>
          </w:p>
        </w:tc>
        <w:tc>
          <w:tcPr>
            <w:tcW w:w="426"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E60731" w:rsidRPr="006E7C15" w:rsidRDefault="00E60731" w:rsidP="00846D2A">
            <w:r w:rsidRPr="006E7C15">
              <w:t>Public Accountability</w:t>
            </w:r>
          </w:p>
        </w:tc>
        <w:tc>
          <w:tcPr>
            <w:tcW w:w="70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E60731" w:rsidRPr="006E7C15" w:rsidRDefault="00E60731" w:rsidP="00846D2A">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E60731" w:rsidRPr="006E7C15" w:rsidRDefault="00E60731" w:rsidP="00846D2A">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E60731" w:rsidRPr="006E7C15" w:rsidRDefault="00E60731" w:rsidP="00846D2A">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E60731" w:rsidRPr="006E7C15" w:rsidRDefault="00E60731" w:rsidP="00846D2A">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E60731" w:rsidRPr="006E7C15" w:rsidRDefault="00E60731" w:rsidP="00846D2A">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E60731" w:rsidRPr="006E7C15" w:rsidRDefault="00E60731" w:rsidP="00846D2A">
            <w:r w:rsidRPr="006E7C15">
              <w:t>Not Started</w:t>
            </w:r>
          </w:p>
        </w:tc>
        <w:tc>
          <w:tcPr>
            <w:tcW w:w="389"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E60731" w:rsidRPr="006E7C15" w:rsidRDefault="00E60731" w:rsidP="00846D2A">
            <w:r w:rsidRPr="006E7C15">
              <w:t>Limited</w:t>
            </w:r>
          </w:p>
        </w:tc>
        <w:tc>
          <w:tcPr>
            <w:tcW w:w="54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E60731" w:rsidRPr="006E7C15" w:rsidRDefault="00E60731" w:rsidP="00846D2A">
            <w:r w:rsidRPr="006E7C15">
              <w:t>Substantial</w:t>
            </w:r>
          </w:p>
        </w:tc>
        <w:tc>
          <w:tcPr>
            <w:tcW w:w="540"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E60731" w:rsidRPr="006E7C15" w:rsidRDefault="00E60731" w:rsidP="00846D2A">
            <w:r w:rsidRPr="006E7C15">
              <w:t>Completed</w:t>
            </w:r>
          </w:p>
        </w:tc>
        <w:tc>
          <w:tcPr>
            <w:tcW w:w="432"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E60731" w:rsidRPr="006E7C15" w:rsidRDefault="00E60731" w:rsidP="00846D2A">
            <w:r w:rsidRPr="006E7C15">
              <w:t>Worsened</w:t>
            </w:r>
          </w:p>
        </w:tc>
        <w:tc>
          <w:tcPr>
            <w:tcW w:w="468"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E60731" w:rsidRPr="006E7C15" w:rsidRDefault="00E60731" w:rsidP="00846D2A">
            <w:r w:rsidRPr="006E7C15">
              <w:t>Did Not Change</w:t>
            </w:r>
          </w:p>
        </w:tc>
        <w:tc>
          <w:tcPr>
            <w:tcW w:w="45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E60731" w:rsidRPr="006E7C15" w:rsidRDefault="00E60731" w:rsidP="00846D2A">
            <w:r w:rsidRPr="006E7C15">
              <w:t>Marginal</w:t>
            </w:r>
          </w:p>
        </w:tc>
        <w:tc>
          <w:tcPr>
            <w:tcW w:w="4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E60731" w:rsidRPr="006E7C15" w:rsidRDefault="00E60731" w:rsidP="00846D2A">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E60731" w:rsidRPr="006E7C15" w:rsidRDefault="00E60731" w:rsidP="00846D2A">
            <w:r w:rsidRPr="006E7C15">
              <w:t>Outstanding</w:t>
            </w:r>
          </w:p>
        </w:tc>
      </w:tr>
      <w:tr w:rsidR="00E60731" w:rsidRPr="006E7C15" w:rsidTr="00846D2A">
        <w:trPr>
          <w:trHeight w:val="652"/>
        </w:trPr>
        <w:tc>
          <w:tcPr>
            <w:tcW w:w="1596" w:type="dxa"/>
            <w:vMerge w:val="restart"/>
            <w:tcBorders>
              <w:top w:val="single" w:sz="18" w:space="0" w:color="FFFFFF"/>
              <w:left w:val="single" w:sz="4" w:space="0" w:color="FFFFFF"/>
            </w:tcBorders>
            <w:shd w:val="clear" w:color="auto" w:fill="000000"/>
            <w:vAlign w:val="center"/>
          </w:tcPr>
          <w:p w:rsidR="00E60731" w:rsidRPr="006E7C15" w:rsidRDefault="00E60731" w:rsidP="00846D2A">
            <w:pPr>
              <w:rPr>
                <w:color w:val="FFFFFF" w:themeColor="background1"/>
              </w:rPr>
            </w:pPr>
            <w:r>
              <w:rPr>
                <w:color w:val="FFFFFF" w:themeColor="background1"/>
              </w:rPr>
              <w:t xml:space="preserve">23. </w:t>
            </w:r>
            <w:r w:rsidRPr="00C47F8E">
              <w:rPr>
                <w:color w:val="FFFFFF" w:themeColor="background1"/>
              </w:rPr>
              <w:t>Transparency of Ozurgeti Municipality Assembly meetings</w:t>
            </w:r>
          </w:p>
        </w:tc>
        <w:tc>
          <w:tcPr>
            <w:tcW w:w="445" w:type="dxa"/>
            <w:vMerge w:val="restart"/>
            <w:tcBorders>
              <w:top w:val="single" w:sz="18" w:space="0" w:color="FFFFFF"/>
              <w:right w:val="single" w:sz="2" w:space="0" w:color="FFFFFF"/>
            </w:tcBorders>
            <w:shd w:val="clear" w:color="auto" w:fill="D6E3BC"/>
            <w:vAlign w:val="center"/>
          </w:tcPr>
          <w:p w:rsidR="00E60731" w:rsidRPr="006E7C15" w:rsidRDefault="00E60731" w:rsidP="00846D2A"/>
        </w:tc>
        <w:tc>
          <w:tcPr>
            <w:tcW w:w="407" w:type="dxa"/>
            <w:vMerge w:val="restart"/>
            <w:tcBorders>
              <w:top w:val="single" w:sz="18" w:space="0" w:color="FFFFFF"/>
              <w:left w:val="single" w:sz="2" w:space="0" w:color="FFFFFF"/>
              <w:right w:val="single" w:sz="2" w:space="0" w:color="FFFFFF"/>
            </w:tcBorders>
            <w:shd w:val="clear" w:color="auto" w:fill="D6E3BC"/>
            <w:vAlign w:val="center"/>
          </w:tcPr>
          <w:p w:rsidR="00E60731" w:rsidRPr="006E7C15" w:rsidRDefault="00E60731" w:rsidP="00846D2A"/>
        </w:tc>
        <w:tc>
          <w:tcPr>
            <w:tcW w:w="406" w:type="dxa"/>
            <w:vMerge w:val="restart"/>
            <w:tcBorders>
              <w:top w:val="single" w:sz="18" w:space="0" w:color="FFFFFF"/>
              <w:left w:val="single" w:sz="2" w:space="0" w:color="FFFFFF"/>
              <w:right w:val="single" w:sz="2" w:space="0" w:color="FFFFFF"/>
            </w:tcBorders>
            <w:shd w:val="clear" w:color="auto" w:fill="D6E3BC"/>
            <w:vAlign w:val="center"/>
          </w:tcPr>
          <w:p w:rsidR="00E60731" w:rsidRPr="006E7C15" w:rsidRDefault="00E60731" w:rsidP="00846D2A"/>
        </w:tc>
        <w:tc>
          <w:tcPr>
            <w:tcW w:w="363" w:type="dxa"/>
            <w:vMerge w:val="restart"/>
            <w:tcBorders>
              <w:top w:val="single" w:sz="18" w:space="0" w:color="FFFFFF"/>
              <w:left w:val="single" w:sz="2" w:space="0" w:color="FFFFFF"/>
              <w:right w:val="single" w:sz="18" w:space="0" w:color="FFFFFF"/>
            </w:tcBorders>
            <w:shd w:val="clear" w:color="auto" w:fill="D6E3BC"/>
            <w:vAlign w:val="center"/>
          </w:tcPr>
          <w:p w:rsidR="00E60731" w:rsidRPr="006E7C15" w:rsidRDefault="00E60731" w:rsidP="00846D2A">
            <w:r w:rsidRPr="0010229D">
              <w:rPr>
                <w:rFonts w:ascii="Apple Color Emoji" w:eastAsia="MS Mincho" w:hAnsi="Apple Color Emoji" w:cs="Apple Color Emoji"/>
                <w:sz w:val="20"/>
              </w:rPr>
              <w:t>✔</w:t>
            </w:r>
          </w:p>
        </w:tc>
        <w:tc>
          <w:tcPr>
            <w:tcW w:w="435" w:type="dxa"/>
            <w:vMerge w:val="restart"/>
            <w:tcBorders>
              <w:top w:val="single" w:sz="18" w:space="0" w:color="FFFFFF"/>
              <w:left w:val="single" w:sz="2" w:space="0" w:color="FFFFFF"/>
              <w:right w:val="single" w:sz="6" w:space="0" w:color="FFFFFF" w:themeColor="background1"/>
            </w:tcBorders>
            <w:shd w:val="clear" w:color="auto" w:fill="FBD4B4"/>
            <w:vAlign w:val="center"/>
          </w:tcPr>
          <w:p w:rsidR="00E60731" w:rsidRPr="006E7C15" w:rsidRDefault="00E60731" w:rsidP="00846D2A">
            <w:r w:rsidRPr="0010229D">
              <w:rPr>
                <w:rFonts w:ascii="Apple Color Emoji" w:eastAsia="MS Mincho" w:hAnsi="Apple Color Emoji" w:cs="Apple Color Emoji"/>
                <w:sz w:val="20"/>
              </w:rPr>
              <w:t>✔</w:t>
            </w:r>
          </w:p>
        </w:tc>
        <w:tc>
          <w:tcPr>
            <w:tcW w:w="425" w:type="dxa"/>
            <w:vMerge w:val="restart"/>
            <w:tcBorders>
              <w:top w:val="single" w:sz="18" w:space="0" w:color="FFFFFF"/>
              <w:left w:val="single" w:sz="6" w:space="0" w:color="FFFFFF" w:themeColor="background1"/>
              <w:right w:val="single" w:sz="6" w:space="0" w:color="FFFFFF" w:themeColor="background1"/>
            </w:tcBorders>
            <w:shd w:val="clear" w:color="auto" w:fill="FBD4B4"/>
            <w:vAlign w:val="center"/>
          </w:tcPr>
          <w:p w:rsidR="00E60731" w:rsidRPr="006E7C15" w:rsidRDefault="00E60731" w:rsidP="00846D2A">
            <w:pPr>
              <w:jc w:val="center"/>
            </w:pPr>
            <w:r w:rsidRPr="0010229D">
              <w:rPr>
                <w:rFonts w:ascii="Apple Color Emoji" w:eastAsia="MS Mincho" w:hAnsi="Apple Color Emoji" w:cs="Apple Color Emoji"/>
                <w:sz w:val="20"/>
              </w:rPr>
              <w:t>✔</w:t>
            </w:r>
          </w:p>
        </w:tc>
        <w:tc>
          <w:tcPr>
            <w:tcW w:w="426" w:type="dxa"/>
            <w:vMerge w:val="restart"/>
            <w:tcBorders>
              <w:top w:val="single" w:sz="18" w:space="0" w:color="FFFFFF"/>
              <w:left w:val="single" w:sz="6" w:space="0" w:color="FFFFFF" w:themeColor="background1"/>
              <w:right w:val="single" w:sz="6" w:space="0" w:color="FFFFFF" w:themeColor="background1"/>
            </w:tcBorders>
            <w:shd w:val="clear" w:color="auto" w:fill="FBD4B4"/>
            <w:vAlign w:val="center"/>
          </w:tcPr>
          <w:p w:rsidR="00E60731" w:rsidRPr="006E7C15" w:rsidRDefault="00E60731" w:rsidP="00846D2A">
            <w:pPr>
              <w:jc w:val="center"/>
            </w:pPr>
          </w:p>
        </w:tc>
        <w:tc>
          <w:tcPr>
            <w:tcW w:w="706" w:type="dxa"/>
            <w:vMerge w:val="restart"/>
            <w:tcBorders>
              <w:top w:val="single" w:sz="18" w:space="0" w:color="FFFFFF"/>
              <w:left w:val="single" w:sz="6" w:space="0" w:color="FFFFFF" w:themeColor="background1"/>
              <w:right w:val="single" w:sz="18" w:space="0" w:color="FFFFFF"/>
            </w:tcBorders>
            <w:shd w:val="clear" w:color="auto" w:fill="FBD4B4"/>
            <w:vAlign w:val="center"/>
          </w:tcPr>
          <w:p w:rsidR="00E60731" w:rsidRPr="006E7C15" w:rsidRDefault="00E60731" w:rsidP="00846D2A">
            <w:pPr>
              <w:jc w:val="center"/>
            </w:pPr>
            <w:r w:rsidRPr="0010229D">
              <w:rPr>
                <w:rFonts w:ascii="Apple Color Emoji" w:eastAsia="MS Mincho" w:hAnsi="Apple Color Emoji" w:cs="Apple Color Emoji"/>
                <w:sz w:val="20"/>
              </w:rPr>
              <w:t>✔</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rsidR="00E60731" w:rsidRPr="006E7C15" w:rsidRDefault="00E60731" w:rsidP="00846D2A"/>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E60731" w:rsidRPr="006E7C15" w:rsidRDefault="00E60731" w:rsidP="00846D2A"/>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E60731" w:rsidRPr="006E7C15" w:rsidRDefault="00E60731" w:rsidP="00846D2A">
            <w:r w:rsidRPr="0010229D">
              <w:rPr>
                <w:rFonts w:ascii="Apple Color Emoji" w:eastAsia="MS Mincho" w:hAnsi="Apple Color Emoji" w:cs="Apple Color Emoji"/>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rsidR="00E60731" w:rsidRPr="006E7C15" w:rsidRDefault="00E60731" w:rsidP="00846D2A"/>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rsidR="00E60731" w:rsidRPr="006E7C15" w:rsidRDefault="00E60731" w:rsidP="00846D2A"/>
        </w:tc>
        <w:tc>
          <w:tcPr>
            <w:tcW w:w="389"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rsidR="00E60731" w:rsidRPr="006E7C15" w:rsidRDefault="00E60731" w:rsidP="00846D2A"/>
        </w:tc>
        <w:tc>
          <w:tcPr>
            <w:tcW w:w="54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rsidR="00E60731" w:rsidRPr="006E7C15" w:rsidRDefault="00E60731" w:rsidP="00846D2A">
            <w:r w:rsidRPr="0010229D">
              <w:rPr>
                <w:rFonts w:ascii="Apple Color Emoji" w:eastAsia="MS Mincho" w:hAnsi="Apple Color Emoji" w:cs="Apple Color Emoji"/>
                <w:sz w:val="20"/>
              </w:rPr>
              <w:t>✔</w:t>
            </w:r>
          </w:p>
        </w:tc>
        <w:tc>
          <w:tcPr>
            <w:tcW w:w="540" w:type="dxa"/>
            <w:vMerge w:val="restart"/>
            <w:tcBorders>
              <w:top w:val="single" w:sz="18" w:space="0" w:color="FFFFFF"/>
              <w:left w:val="single" w:sz="4" w:space="0" w:color="FFFFFF" w:themeColor="background1"/>
              <w:right w:val="single" w:sz="18" w:space="0" w:color="FFFFFF"/>
            </w:tcBorders>
            <w:shd w:val="clear" w:color="auto" w:fill="B8CCE4"/>
            <w:vAlign w:val="center"/>
          </w:tcPr>
          <w:p w:rsidR="00E60731" w:rsidRPr="006E7C15" w:rsidRDefault="00E60731" w:rsidP="00846D2A"/>
        </w:tc>
        <w:tc>
          <w:tcPr>
            <w:tcW w:w="432" w:type="dxa"/>
            <w:vMerge w:val="restart"/>
            <w:tcBorders>
              <w:top w:val="single" w:sz="18" w:space="0" w:color="FFFFFF"/>
              <w:left w:val="single" w:sz="18" w:space="0" w:color="FFFFFF"/>
              <w:right w:val="single" w:sz="2" w:space="0" w:color="FFFFFF"/>
            </w:tcBorders>
            <w:shd w:val="clear" w:color="auto" w:fill="D99594"/>
            <w:vAlign w:val="center"/>
          </w:tcPr>
          <w:p w:rsidR="00E60731" w:rsidRPr="006E7C15" w:rsidRDefault="00E60731" w:rsidP="00846D2A"/>
        </w:tc>
        <w:tc>
          <w:tcPr>
            <w:tcW w:w="468" w:type="dxa"/>
            <w:vMerge w:val="restart"/>
            <w:tcBorders>
              <w:top w:val="single" w:sz="18" w:space="0" w:color="FFFFFF"/>
              <w:left w:val="single" w:sz="2" w:space="0" w:color="FFFFFF"/>
              <w:right w:val="single" w:sz="2" w:space="0" w:color="FFFFFF"/>
            </w:tcBorders>
            <w:shd w:val="clear" w:color="auto" w:fill="D99594"/>
            <w:vAlign w:val="center"/>
          </w:tcPr>
          <w:p w:rsidR="00E60731" w:rsidRPr="006E7C15" w:rsidRDefault="00E60731" w:rsidP="00846D2A"/>
        </w:tc>
        <w:tc>
          <w:tcPr>
            <w:tcW w:w="450" w:type="dxa"/>
            <w:vMerge w:val="restart"/>
            <w:tcBorders>
              <w:top w:val="single" w:sz="18" w:space="0" w:color="FFFFFF"/>
              <w:left w:val="single" w:sz="2" w:space="0" w:color="FFFFFF"/>
              <w:right w:val="single" w:sz="2" w:space="0" w:color="FFFFFF"/>
            </w:tcBorders>
            <w:shd w:val="clear" w:color="auto" w:fill="D99594"/>
            <w:vAlign w:val="center"/>
          </w:tcPr>
          <w:p w:rsidR="00E60731" w:rsidRPr="006E7C15" w:rsidRDefault="00E60731" w:rsidP="00846D2A"/>
        </w:tc>
        <w:tc>
          <w:tcPr>
            <w:tcW w:w="440" w:type="dxa"/>
            <w:vMerge w:val="restart"/>
            <w:tcBorders>
              <w:top w:val="single" w:sz="18" w:space="0" w:color="FFFFFF"/>
              <w:left w:val="single" w:sz="2" w:space="0" w:color="FFFFFF"/>
              <w:right w:val="single" w:sz="2" w:space="0" w:color="FFFFFF"/>
            </w:tcBorders>
            <w:shd w:val="clear" w:color="auto" w:fill="D99594"/>
            <w:vAlign w:val="center"/>
          </w:tcPr>
          <w:p w:rsidR="00E60731" w:rsidRPr="006E7C15" w:rsidRDefault="00E60731" w:rsidP="00846D2A">
            <w:r w:rsidRPr="0010229D">
              <w:rPr>
                <w:rFonts w:ascii="Apple Color Emoji" w:eastAsia="MS Mincho" w:hAnsi="Apple Color Emoji" w:cs="Apple Color Emoji"/>
                <w:sz w:val="20"/>
              </w:rPr>
              <w:t>✔</w:t>
            </w:r>
          </w:p>
        </w:tc>
        <w:tc>
          <w:tcPr>
            <w:tcW w:w="343" w:type="dxa"/>
            <w:vMerge w:val="restart"/>
            <w:tcBorders>
              <w:top w:val="single" w:sz="18" w:space="0" w:color="FFFFFF"/>
              <w:left w:val="single" w:sz="2" w:space="0" w:color="FFFFFF"/>
              <w:right w:val="single" w:sz="18" w:space="0" w:color="FFFFFF"/>
            </w:tcBorders>
            <w:shd w:val="clear" w:color="auto" w:fill="D99594"/>
          </w:tcPr>
          <w:p w:rsidR="00E60731" w:rsidRPr="006E7C15" w:rsidRDefault="00E60731" w:rsidP="00846D2A"/>
        </w:tc>
      </w:tr>
      <w:tr w:rsidR="00E60731" w:rsidRPr="006E7C15" w:rsidTr="00846D2A">
        <w:trPr>
          <w:trHeight w:val="651"/>
        </w:trPr>
        <w:tc>
          <w:tcPr>
            <w:tcW w:w="1596" w:type="dxa"/>
            <w:vMerge/>
            <w:tcBorders>
              <w:left w:val="single" w:sz="4" w:space="0" w:color="FFFFFF"/>
            </w:tcBorders>
            <w:shd w:val="clear" w:color="auto" w:fill="000000"/>
            <w:vAlign w:val="center"/>
          </w:tcPr>
          <w:p w:rsidR="00E60731" w:rsidRDefault="00E60731" w:rsidP="00846D2A">
            <w:pPr>
              <w:rPr>
                <w:color w:val="FFFFFF" w:themeColor="background1"/>
              </w:rPr>
            </w:pPr>
          </w:p>
        </w:tc>
        <w:tc>
          <w:tcPr>
            <w:tcW w:w="445" w:type="dxa"/>
            <w:vMerge/>
            <w:tcBorders>
              <w:right w:val="single" w:sz="2" w:space="0" w:color="FFFFFF"/>
            </w:tcBorders>
            <w:shd w:val="clear" w:color="auto" w:fill="D6E3BC"/>
            <w:vAlign w:val="center"/>
          </w:tcPr>
          <w:p w:rsidR="00E60731" w:rsidRPr="006E7C15" w:rsidRDefault="00E60731" w:rsidP="00846D2A"/>
        </w:tc>
        <w:tc>
          <w:tcPr>
            <w:tcW w:w="407" w:type="dxa"/>
            <w:vMerge/>
            <w:tcBorders>
              <w:left w:val="single" w:sz="2" w:space="0" w:color="FFFFFF"/>
              <w:right w:val="single" w:sz="2" w:space="0" w:color="FFFFFF"/>
            </w:tcBorders>
            <w:shd w:val="clear" w:color="auto" w:fill="D6E3BC"/>
            <w:vAlign w:val="center"/>
          </w:tcPr>
          <w:p w:rsidR="00E60731" w:rsidRPr="006E7C15" w:rsidRDefault="00E60731" w:rsidP="00846D2A"/>
        </w:tc>
        <w:tc>
          <w:tcPr>
            <w:tcW w:w="406" w:type="dxa"/>
            <w:vMerge/>
            <w:tcBorders>
              <w:left w:val="single" w:sz="2" w:space="0" w:color="FFFFFF"/>
              <w:right w:val="single" w:sz="2" w:space="0" w:color="FFFFFF"/>
            </w:tcBorders>
            <w:shd w:val="clear" w:color="auto" w:fill="D6E3BC"/>
            <w:vAlign w:val="center"/>
          </w:tcPr>
          <w:p w:rsidR="00E60731" w:rsidRPr="006E7C15" w:rsidRDefault="00E60731" w:rsidP="00846D2A"/>
        </w:tc>
        <w:tc>
          <w:tcPr>
            <w:tcW w:w="363" w:type="dxa"/>
            <w:vMerge/>
            <w:tcBorders>
              <w:left w:val="single" w:sz="2" w:space="0" w:color="FFFFFF"/>
              <w:right w:val="single" w:sz="18" w:space="0" w:color="FFFFFF"/>
            </w:tcBorders>
            <w:shd w:val="clear" w:color="auto" w:fill="D6E3BC"/>
            <w:vAlign w:val="center"/>
          </w:tcPr>
          <w:p w:rsidR="00E60731" w:rsidRPr="004B1C12" w:rsidRDefault="00E60731" w:rsidP="00846D2A">
            <w:pPr>
              <w:rPr>
                <w:rFonts w:ascii="Zapf Dingbats" w:hAnsi="Zapf Dingbats"/>
                <w:szCs w:val="22"/>
              </w:rPr>
            </w:pPr>
          </w:p>
        </w:tc>
        <w:tc>
          <w:tcPr>
            <w:tcW w:w="435" w:type="dxa"/>
            <w:vMerge/>
            <w:tcBorders>
              <w:left w:val="single" w:sz="2" w:space="0" w:color="FFFFFF"/>
              <w:right w:val="single" w:sz="6" w:space="0" w:color="FFFFFF" w:themeColor="background1"/>
            </w:tcBorders>
            <w:shd w:val="clear" w:color="auto" w:fill="FBD4B4"/>
            <w:vAlign w:val="center"/>
          </w:tcPr>
          <w:p w:rsidR="00E60731" w:rsidRPr="004B1C12" w:rsidRDefault="00E60731" w:rsidP="00846D2A">
            <w:pPr>
              <w:jc w:val="center"/>
              <w:rPr>
                <w:rFonts w:ascii="Zapf Dingbats" w:hAnsi="Zapf Dingbats"/>
                <w:szCs w:val="22"/>
              </w:rPr>
            </w:pPr>
          </w:p>
        </w:tc>
        <w:tc>
          <w:tcPr>
            <w:tcW w:w="425" w:type="dxa"/>
            <w:vMerge/>
            <w:tcBorders>
              <w:left w:val="single" w:sz="6" w:space="0" w:color="FFFFFF" w:themeColor="background1"/>
              <w:right w:val="single" w:sz="6" w:space="0" w:color="FFFFFF" w:themeColor="background1"/>
            </w:tcBorders>
            <w:shd w:val="clear" w:color="auto" w:fill="FBD4B4"/>
            <w:vAlign w:val="center"/>
          </w:tcPr>
          <w:p w:rsidR="00E60731" w:rsidRPr="004B1C12" w:rsidRDefault="00E60731" w:rsidP="00846D2A">
            <w:pPr>
              <w:jc w:val="center"/>
              <w:rPr>
                <w:rFonts w:ascii="Zapf Dingbats" w:hAnsi="Zapf Dingbats"/>
                <w:szCs w:val="22"/>
              </w:rPr>
            </w:pPr>
          </w:p>
        </w:tc>
        <w:tc>
          <w:tcPr>
            <w:tcW w:w="426" w:type="dxa"/>
            <w:vMerge/>
            <w:tcBorders>
              <w:left w:val="single" w:sz="6" w:space="0" w:color="FFFFFF" w:themeColor="background1"/>
              <w:right w:val="single" w:sz="6" w:space="0" w:color="FFFFFF" w:themeColor="background1"/>
            </w:tcBorders>
            <w:shd w:val="clear" w:color="auto" w:fill="FBD4B4"/>
            <w:vAlign w:val="center"/>
          </w:tcPr>
          <w:p w:rsidR="00E60731" w:rsidRPr="006E7C15" w:rsidRDefault="00E60731" w:rsidP="00846D2A">
            <w:pPr>
              <w:jc w:val="center"/>
            </w:pPr>
          </w:p>
        </w:tc>
        <w:tc>
          <w:tcPr>
            <w:tcW w:w="706" w:type="dxa"/>
            <w:vMerge/>
            <w:tcBorders>
              <w:left w:val="single" w:sz="6" w:space="0" w:color="FFFFFF" w:themeColor="background1"/>
              <w:right w:val="single" w:sz="18" w:space="0" w:color="FFFFFF"/>
            </w:tcBorders>
            <w:shd w:val="clear" w:color="auto" w:fill="FBD4B4"/>
            <w:vAlign w:val="center"/>
          </w:tcPr>
          <w:p w:rsidR="00E60731" w:rsidRPr="004B1C12" w:rsidRDefault="00E60731" w:rsidP="00846D2A">
            <w:pPr>
              <w:jc w:val="center"/>
              <w:rPr>
                <w:rFonts w:ascii="Zapf Dingbats" w:hAnsi="Zapf Dingbats"/>
                <w:szCs w:val="22"/>
              </w:rPr>
            </w:pPr>
          </w:p>
        </w:tc>
        <w:tc>
          <w:tcPr>
            <w:tcW w:w="450" w:type="dxa"/>
            <w:vMerge/>
            <w:tcBorders>
              <w:left w:val="single" w:sz="18" w:space="0" w:color="FFFFFF"/>
              <w:right w:val="single" w:sz="2" w:space="0" w:color="FFFFFF"/>
            </w:tcBorders>
            <w:shd w:val="clear" w:color="auto" w:fill="CCC0D9"/>
            <w:vAlign w:val="center"/>
          </w:tcPr>
          <w:p w:rsidR="00E60731" w:rsidRPr="006E7C15" w:rsidRDefault="00E60731" w:rsidP="00846D2A"/>
        </w:tc>
        <w:tc>
          <w:tcPr>
            <w:tcW w:w="360" w:type="dxa"/>
            <w:vMerge/>
            <w:tcBorders>
              <w:left w:val="single" w:sz="2" w:space="0" w:color="FFFFFF"/>
              <w:right w:val="single" w:sz="2" w:space="0" w:color="FFFFFF"/>
            </w:tcBorders>
            <w:shd w:val="clear" w:color="auto" w:fill="CCC0D9"/>
            <w:vAlign w:val="center"/>
          </w:tcPr>
          <w:p w:rsidR="00E60731" w:rsidRPr="006E7C15" w:rsidRDefault="00E60731" w:rsidP="00846D2A"/>
        </w:tc>
        <w:tc>
          <w:tcPr>
            <w:tcW w:w="450" w:type="dxa"/>
            <w:vMerge/>
            <w:tcBorders>
              <w:left w:val="single" w:sz="2" w:space="0" w:color="FFFFFF"/>
              <w:right w:val="single" w:sz="2" w:space="0" w:color="FFFFFF"/>
            </w:tcBorders>
            <w:shd w:val="clear" w:color="auto" w:fill="CCC0D9"/>
            <w:vAlign w:val="center"/>
          </w:tcPr>
          <w:p w:rsidR="00E60731" w:rsidRPr="004B1C12" w:rsidRDefault="00E60731" w:rsidP="00846D2A">
            <w:pPr>
              <w:rPr>
                <w:rFonts w:ascii="Zapf Dingbats" w:hAnsi="Zapf Dingbats"/>
                <w:szCs w:val="22"/>
              </w:rPr>
            </w:pPr>
          </w:p>
        </w:tc>
        <w:tc>
          <w:tcPr>
            <w:tcW w:w="360" w:type="dxa"/>
            <w:vMerge/>
            <w:tcBorders>
              <w:left w:val="single" w:sz="2" w:space="0" w:color="FFFFFF"/>
              <w:right w:val="single" w:sz="18" w:space="0" w:color="FFFFFF"/>
            </w:tcBorders>
            <w:shd w:val="clear" w:color="auto" w:fill="CCC0D9"/>
            <w:vAlign w:val="center"/>
          </w:tcPr>
          <w:p w:rsidR="00E60731" w:rsidRPr="006E7C15" w:rsidRDefault="00E60731" w:rsidP="00846D2A"/>
        </w:tc>
        <w:tc>
          <w:tcPr>
            <w:tcW w:w="540" w:type="dxa"/>
            <w:vMerge/>
            <w:tcBorders>
              <w:left w:val="single" w:sz="18" w:space="0" w:color="FFFFFF"/>
              <w:right w:val="single" w:sz="4" w:space="0" w:color="FFFFFF" w:themeColor="background1"/>
            </w:tcBorders>
            <w:shd w:val="clear" w:color="auto" w:fill="B8CCE4"/>
            <w:vAlign w:val="center"/>
          </w:tcPr>
          <w:p w:rsidR="00E60731" w:rsidRPr="006E7C15" w:rsidRDefault="00E60731" w:rsidP="00846D2A"/>
        </w:tc>
        <w:tc>
          <w:tcPr>
            <w:tcW w:w="389" w:type="dxa"/>
            <w:vMerge/>
            <w:tcBorders>
              <w:left w:val="single" w:sz="4" w:space="0" w:color="FFFFFF" w:themeColor="background1"/>
              <w:right w:val="single" w:sz="4" w:space="0" w:color="FFFFFF" w:themeColor="background1"/>
            </w:tcBorders>
            <w:shd w:val="clear" w:color="auto" w:fill="B8CCE4"/>
            <w:vAlign w:val="center"/>
          </w:tcPr>
          <w:p w:rsidR="00E60731" w:rsidRPr="006E7C15" w:rsidRDefault="00E60731" w:rsidP="00846D2A"/>
        </w:tc>
        <w:tc>
          <w:tcPr>
            <w:tcW w:w="540" w:type="dxa"/>
            <w:tcBorders>
              <w:top w:val="single" w:sz="18" w:space="0" w:color="FFFFFF"/>
              <w:left w:val="single" w:sz="4" w:space="0" w:color="FFFFFF" w:themeColor="background1"/>
              <w:right w:val="single" w:sz="4" w:space="0" w:color="FFFFFF" w:themeColor="background1"/>
            </w:tcBorders>
            <w:shd w:val="clear" w:color="auto" w:fill="B8CCE4"/>
            <w:vAlign w:val="center"/>
          </w:tcPr>
          <w:p w:rsidR="00E60731" w:rsidRPr="006E7C15" w:rsidRDefault="00E60731" w:rsidP="00846D2A">
            <w:r w:rsidRPr="0010229D">
              <w:rPr>
                <w:rFonts w:ascii="Apple Color Emoji" w:eastAsia="MS Mincho" w:hAnsi="Apple Color Emoji" w:cs="Apple Color Emoji"/>
                <w:sz w:val="20"/>
              </w:rPr>
              <w:t>✔</w:t>
            </w:r>
          </w:p>
        </w:tc>
        <w:tc>
          <w:tcPr>
            <w:tcW w:w="540" w:type="dxa"/>
            <w:vMerge/>
            <w:tcBorders>
              <w:left w:val="single" w:sz="4" w:space="0" w:color="FFFFFF" w:themeColor="background1"/>
              <w:right w:val="single" w:sz="18" w:space="0" w:color="FFFFFF"/>
            </w:tcBorders>
            <w:shd w:val="clear" w:color="auto" w:fill="B8CCE4"/>
            <w:vAlign w:val="center"/>
          </w:tcPr>
          <w:p w:rsidR="00E60731" w:rsidRPr="006E7C15" w:rsidRDefault="00E60731" w:rsidP="00846D2A"/>
        </w:tc>
        <w:tc>
          <w:tcPr>
            <w:tcW w:w="432" w:type="dxa"/>
            <w:vMerge/>
            <w:tcBorders>
              <w:left w:val="single" w:sz="18" w:space="0" w:color="FFFFFF"/>
              <w:right w:val="single" w:sz="2" w:space="0" w:color="FFFFFF"/>
            </w:tcBorders>
            <w:shd w:val="clear" w:color="auto" w:fill="D99594"/>
            <w:vAlign w:val="center"/>
          </w:tcPr>
          <w:p w:rsidR="00E60731" w:rsidRPr="006E7C15" w:rsidRDefault="00E60731" w:rsidP="00846D2A"/>
        </w:tc>
        <w:tc>
          <w:tcPr>
            <w:tcW w:w="468" w:type="dxa"/>
            <w:vMerge/>
            <w:tcBorders>
              <w:left w:val="single" w:sz="2" w:space="0" w:color="FFFFFF"/>
              <w:right w:val="single" w:sz="2" w:space="0" w:color="FFFFFF"/>
            </w:tcBorders>
            <w:shd w:val="clear" w:color="auto" w:fill="D99594"/>
            <w:vAlign w:val="center"/>
          </w:tcPr>
          <w:p w:rsidR="00E60731" w:rsidRPr="006E7C15" w:rsidRDefault="00E60731" w:rsidP="00846D2A"/>
        </w:tc>
        <w:tc>
          <w:tcPr>
            <w:tcW w:w="450" w:type="dxa"/>
            <w:vMerge/>
            <w:tcBorders>
              <w:left w:val="single" w:sz="2" w:space="0" w:color="FFFFFF"/>
              <w:right w:val="single" w:sz="2" w:space="0" w:color="FFFFFF"/>
            </w:tcBorders>
            <w:shd w:val="clear" w:color="auto" w:fill="D99594"/>
            <w:vAlign w:val="center"/>
          </w:tcPr>
          <w:p w:rsidR="00E60731" w:rsidRPr="006E7C15" w:rsidRDefault="00E60731" w:rsidP="00846D2A"/>
        </w:tc>
        <w:tc>
          <w:tcPr>
            <w:tcW w:w="440" w:type="dxa"/>
            <w:vMerge/>
            <w:tcBorders>
              <w:left w:val="single" w:sz="2" w:space="0" w:color="FFFFFF"/>
              <w:right w:val="single" w:sz="2" w:space="0" w:color="FFFFFF"/>
            </w:tcBorders>
            <w:shd w:val="clear" w:color="auto" w:fill="D99594"/>
            <w:vAlign w:val="center"/>
          </w:tcPr>
          <w:p w:rsidR="00E60731" w:rsidRPr="006E7C15" w:rsidRDefault="00E60731" w:rsidP="00846D2A"/>
        </w:tc>
        <w:tc>
          <w:tcPr>
            <w:tcW w:w="343" w:type="dxa"/>
            <w:vMerge/>
            <w:tcBorders>
              <w:left w:val="single" w:sz="2" w:space="0" w:color="FFFFFF"/>
              <w:right w:val="single" w:sz="18" w:space="0" w:color="FFFFFF"/>
            </w:tcBorders>
            <w:shd w:val="clear" w:color="auto" w:fill="D99594"/>
          </w:tcPr>
          <w:p w:rsidR="00E60731" w:rsidRPr="006E7C15" w:rsidRDefault="00E60731" w:rsidP="00846D2A"/>
        </w:tc>
      </w:tr>
    </w:tbl>
    <w:p w:rsidR="003F30AE" w:rsidRPr="003C2E40" w:rsidRDefault="003F30AE" w:rsidP="00FE5928">
      <w:pPr>
        <w:pStyle w:val="Heading3"/>
        <w:rPr>
          <w:highlight w:val="yellow"/>
        </w:rPr>
      </w:pPr>
    </w:p>
    <w:p w:rsidR="003F30AE" w:rsidRPr="005634C0" w:rsidRDefault="003F30AE" w:rsidP="00FE5928">
      <w:pPr>
        <w:pStyle w:val="Heading3"/>
      </w:pPr>
      <w:bookmarkStart w:id="115" w:name="_Toc529199400"/>
      <w:bookmarkStart w:id="116" w:name="_Toc529997055"/>
      <w:bookmarkStart w:id="117" w:name="_Toc530910748"/>
      <w:r w:rsidRPr="00015C8B">
        <w:t>Commitment Aim:</w:t>
      </w:r>
      <w:bookmarkEnd w:id="115"/>
      <w:bookmarkEnd w:id="116"/>
      <w:bookmarkEnd w:id="117"/>
    </w:p>
    <w:p w:rsidR="003F30AE" w:rsidRPr="005634C0" w:rsidRDefault="003F30AE" w:rsidP="003F30AE">
      <w:pPr>
        <w:tabs>
          <w:tab w:val="clear" w:pos="2880"/>
        </w:tabs>
        <w:spacing w:before="100" w:beforeAutospacing="1" w:after="100" w:afterAutospacing="1"/>
        <w:rPr>
          <w:iCs/>
          <w:color w:val="212121"/>
          <w:szCs w:val="22"/>
        </w:rPr>
      </w:pPr>
      <w:r>
        <w:rPr>
          <w:iCs/>
          <w:color w:val="212121"/>
          <w:szCs w:val="22"/>
        </w:rPr>
        <w:t>With the purpose</w:t>
      </w:r>
      <w:r w:rsidRPr="00160AC1">
        <w:rPr>
          <w:iCs/>
          <w:color w:val="212121"/>
          <w:szCs w:val="22"/>
        </w:rPr>
        <w:t xml:space="preserve"> to increase transparency </w:t>
      </w:r>
      <w:r>
        <w:rPr>
          <w:iCs/>
          <w:color w:val="212121"/>
          <w:szCs w:val="22"/>
        </w:rPr>
        <w:t xml:space="preserve">of the Assembly meetings </w:t>
      </w:r>
      <w:r w:rsidRPr="00160AC1">
        <w:rPr>
          <w:iCs/>
          <w:color w:val="212121"/>
          <w:szCs w:val="22"/>
        </w:rPr>
        <w:t xml:space="preserve">and </w:t>
      </w:r>
      <w:r>
        <w:rPr>
          <w:iCs/>
          <w:color w:val="212121"/>
          <w:szCs w:val="22"/>
        </w:rPr>
        <w:t xml:space="preserve">enhance </w:t>
      </w:r>
      <w:r w:rsidRPr="00160AC1">
        <w:rPr>
          <w:iCs/>
          <w:color w:val="212121"/>
          <w:szCs w:val="22"/>
        </w:rPr>
        <w:t>civic engagement in local governance, Ozurgeti Municipality Assembly commit</w:t>
      </w:r>
      <w:r>
        <w:rPr>
          <w:iCs/>
          <w:color w:val="212121"/>
          <w:szCs w:val="22"/>
        </w:rPr>
        <w:t xml:space="preserve">ted to introduce number of services. These included </w:t>
      </w:r>
      <w:r w:rsidRPr="00160AC1">
        <w:rPr>
          <w:iCs/>
          <w:color w:val="212121"/>
          <w:szCs w:val="22"/>
        </w:rPr>
        <w:t xml:space="preserve">live transmission of </w:t>
      </w:r>
      <w:r>
        <w:rPr>
          <w:iCs/>
          <w:color w:val="212121"/>
          <w:szCs w:val="22"/>
        </w:rPr>
        <w:t xml:space="preserve">the </w:t>
      </w:r>
      <w:r w:rsidRPr="00160AC1">
        <w:rPr>
          <w:iCs/>
          <w:color w:val="212121"/>
          <w:szCs w:val="22"/>
        </w:rPr>
        <w:t>municipality assembly meetings, creation of onli</w:t>
      </w:r>
      <w:r>
        <w:rPr>
          <w:iCs/>
          <w:color w:val="212121"/>
          <w:szCs w:val="22"/>
        </w:rPr>
        <w:t xml:space="preserve">ne video archive of the meetings, </w:t>
      </w:r>
      <w:r w:rsidRPr="00160AC1">
        <w:rPr>
          <w:iCs/>
          <w:color w:val="212121"/>
          <w:szCs w:val="22"/>
        </w:rPr>
        <w:t>online</w:t>
      </w:r>
      <w:r>
        <w:rPr>
          <w:iCs/>
          <w:color w:val="212121"/>
          <w:szCs w:val="22"/>
        </w:rPr>
        <w:t xml:space="preserve"> questionnaires, establishing centers for civic engagement, and an SMS service</w:t>
      </w:r>
      <w:r w:rsidRPr="00160AC1">
        <w:rPr>
          <w:iCs/>
          <w:color w:val="212121"/>
          <w:szCs w:val="22"/>
        </w:rPr>
        <w:t xml:space="preserve"> to </w:t>
      </w:r>
      <w:r>
        <w:rPr>
          <w:iCs/>
          <w:color w:val="212121"/>
          <w:szCs w:val="22"/>
        </w:rPr>
        <w:t xml:space="preserve">inform the local population about the </w:t>
      </w:r>
      <w:r w:rsidRPr="00160AC1">
        <w:rPr>
          <w:iCs/>
          <w:color w:val="212121"/>
          <w:szCs w:val="22"/>
        </w:rPr>
        <w:t>municipality activities</w:t>
      </w:r>
      <w:r>
        <w:rPr>
          <w:iCs/>
          <w:color w:val="212121"/>
          <w:szCs w:val="22"/>
        </w:rPr>
        <w:t xml:space="preserve">, </w:t>
      </w:r>
      <w:r w:rsidRPr="00160AC1">
        <w:rPr>
          <w:iCs/>
          <w:color w:val="212121"/>
          <w:szCs w:val="22"/>
        </w:rPr>
        <w:t xml:space="preserve">upcoming assembly meetings and events. </w:t>
      </w:r>
    </w:p>
    <w:p w:rsidR="003F30AE" w:rsidRPr="000E55F3" w:rsidRDefault="003F30AE" w:rsidP="00FE5928">
      <w:pPr>
        <w:pStyle w:val="Heading3"/>
      </w:pPr>
      <w:bookmarkStart w:id="118" w:name="_Toc529199401"/>
      <w:bookmarkStart w:id="119" w:name="_Toc529997056"/>
      <w:bookmarkStart w:id="120" w:name="_Toc530910749"/>
      <w:r w:rsidRPr="000E55F3">
        <w:t>Status</w:t>
      </w:r>
      <w:bookmarkEnd w:id="118"/>
      <w:bookmarkEnd w:id="119"/>
      <w:bookmarkEnd w:id="120"/>
    </w:p>
    <w:p w:rsidR="003F30AE" w:rsidRDefault="003F30AE" w:rsidP="003F30AE">
      <w:pPr>
        <w:pStyle w:val="Normalrglronly"/>
        <w:rPr>
          <w:b/>
        </w:rPr>
      </w:pPr>
      <w:r>
        <w:rPr>
          <w:b/>
        </w:rPr>
        <w:t>Midterm: Substantial</w:t>
      </w:r>
    </w:p>
    <w:p w:rsidR="003F30AE" w:rsidRPr="0070254A" w:rsidRDefault="003F30AE" w:rsidP="003F30AE">
      <w:pPr>
        <w:tabs>
          <w:tab w:val="clear" w:pos="2880"/>
        </w:tabs>
        <w:spacing w:before="100" w:beforeAutospacing="1" w:after="100" w:afterAutospacing="1"/>
        <w:rPr>
          <w:iCs/>
          <w:color w:val="212121"/>
          <w:szCs w:val="22"/>
        </w:rPr>
      </w:pPr>
      <w:r w:rsidRPr="001A7E82">
        <w:rPr>
          <w:iCs/>
          <w:color w:val="212121"/>
          <w:szCs w:val="22"/>
        </w:rPr>
        <w:t xml:space="preserve">The commitment was </w:t>
      </w:r>
      <w:r>
        <w:rPr>
          <w:iCs/>
          <w:color w:val="212121"/>
          <w:szCs w:val="22"/>
        </w:rPr>
        <w:t xml:space="preserve">completed to a substantial degree by midterm, </w:t>
      </w:r>
      <w:r w:rsidRPr="001A7E82">
        <w:rPr>
          <w:iCs/>
          <w:color w:val="212121"/>
          <w:szCs w:val="22"/>
        </w:rPr>
        <w:t xml:space="preserve">considering that the municipality </w:t>
      </w:r>
      <w:r>
        <w:rPr>
          <w:iCs/>
          <w:color w:val="212121"/>
          <w:szCs w:val="22"/>
        </w:rPr>
        <w:t>introduced most of the services proposed in National Action Plan (NAP) 2016-2018. Live transmission of the municipality assembly meetings, video archive, online questionnaires and SMS service were all launched by August 2017. The key remaining activity was the establishment of 23 out of 28 Centers for Civic Engagement in different villages of the municipality. With 5 fully functioning centers, the assembly had to make 23 new centers available to citizens within the remaining action plan cycle.</w:t>
      </w:r>
    </w:p>
    <w:p w:rsidR="003F30AE" w:rsidRPr="004B1C12" w:rsidRDefault="003F30AE" w:rsidP="003F30AE">
      <w:pPr>
        <w:rPr>
          <w:i/>
          <w:color w:val="4F81BD" w:themeColor="accent1"/>
        </w:rPr>
      </w:pPr>
    </w:p>
    <w:p w:rsidR="003F30AE" w:rsidRDefault="003F30AE" w:rsidP="003F30AE">
      <w:pPr>
        <w:pStyle w:val="Normalrglronly"/>
        <w:rPr>
          <w:b/>
        </w:rPr>
      </w:pPr>
      <w:r w:rsidRPr="0082416A">
        <w:rPr>
          <w:b/>
        </w:rPr>
        <w:t>End of term: Substantial</w:t>
      </w:r>
    </w:p>
    <w:p w:rsidR="003F30AE" w:rsidRDefault="003F30AE" w:rsidP="003F30AE">
      <w:pPr>
        <w:tabs>
          <w:tab w:val="clear" w:pos="2880"/>
        </w:tabs>
        <w:spacing w:before="100" w:beforeAutospacing="1" w:after="100" w:afterAutospacing="1"/>
        <w:rPr>
          <w:iCs/>
          <w:color w:val="212121"/>
          <w:szCs w:val="22"/>
        </w:rPr>
      </w:pPr>
      <w:r w:rsidRPr="00134FBA">
        <w:rPr>
          <w:b/>
          <w:iCs/>
          <w:color w:val="212121"/>
          <w:szCs w:val="22"/>
        </w:rPr>
        <w:t xml:space="preserve"> “Manage from Home” </w:t>
      </w:r>
      <w:r>
        <w:rPr>
          <w:b/>
          <w:iCs/>
          <w:color w:val="212121"/>
          <w:szCs w:val="22"/>
        </w:rPr>
        <w:t xml:space="preserve">- </w:t>
      </w:r>
      <w:r w:rsidRPr="00134FBA">
        <w:rPr>
          <w:b/>
          <w:iCs/>
          <w:color w:val="212121"/>
          <w:szCs w:val="22"/>
        </w:rPr>
        <w:t>live transmission of the Municipality Assembly meetings</w:t>
      </w:r>
      <w:r>
        <w:rPr>
          <w:iCs/>
          <w:color w:val="212121"/>
          <w:szCs w:val="22"/>
        </w:rPr>
        <w:t xml:space="preserve">: Ozurgeti Municipality Assembly introduced the live transmission service of the assembly </w:t>
      </w:r>
      <w:r>
        <w:rPr>
          <w:iCs/>
          <w:color w:val="212121"/>
          <w:szCs w:val="22"/>
        </w:rPr>
        <w:lastRenderedPageBreak/>
        <w:t>meetings – “Manage from Home” on the website, which provides a platform for users to leave comments and ask questio</w:t>
      </w:r>
      <w:r w:rsidRPr="00BC4EF4">
        <w:rPr>
          <w:iCs/>
          <w:color w:val="212121"/>
          <w:szCs w:val="22"/>
        </w:rPr>
        <w:t>ns</w:t>
      </w:r>
      <w:r>
        <w:rPr>
          <w:iCs/>
          <w:color w:val="212121"/>
          <w:szCs w:val="22"/>
        </w:rPr>
        <w:t xml:space="preserve"> to the decision-makers</w:t>
      </w:r>
      <w:r w:rsidRPr="00BC4EF4">
        <w:rPr>
          <w:iCs/>
          <w:color w:val="212121"/>
          <w:szCs w:val="22"/>
        </w:rPr>
        <w:t xml:space="preserve">. The Assembly representative stated that </w:t>
      </w:r>
      <w:r>
        <w:rPr>
          <w:iCs/>
          <w:color w:val="212121"/>
          <w:szCs w:val="22"/>
        </w:rPr>
        <w:t xml:space="preserve">the </w:t>
      </w:r>
      <w:r w:rsidRPr="00BC4EF4">
        <w:rPr>
          <w:iCs/>
          <w:color w:val="212121"/>
          <w:szCs w:val="22"/>
        </w:rPr>
        <w:t>exact number of users and interaction outcomes are to be published in the Assembly annual report 2017, which is still in the development process</w:t>
      </w:r>
      <w:r w:rsidRPr="00BC4EF4">
        <w:rPr>
          <w:rStyle w:val="EndnoteReference"/>
          <w:iCs/>
          <w:color w:val="212121"/>
          <w:szCs w:val="22"/>
        </w:rPr>
        <w:endnoteReference w:id="124"/>
      </w:r>
      <w:r>
        <w:rPr>
          <w:iCs/>
          <w:color w:val="212121"/>
          <w:szCs w:val="22"/>
        </w:rPr>
        <w:t xml:space="preserve"> at the time of writing this report (October 2018)</w:t>
      </w:r>
      <w:r w:rsidRPr="00BC4EF4">
        <w:rPr>
          <w:iCs/>
          <w:color w:val="212121"/>
          <w:szCs w:val="22"/>
        </w:rPr>
        <w:t>.</w:t>
      </w:r>
      <w:r>
        <w:rPr>
          <w:iCs/>
          <w:color w:val="212121"/>
          <w:szCs w:val="22"/>
        </w:rPr>
        <w:t xml:space="preserve"> Since the launch of “Manage from Home” in 2016 up to date, there are overall 123 published comments on the transmission page, including greetings, questions and various remarks</w:t>
      </w:r>
      <w:r>
        <w:rPr>
          <w:rStyle w:val="EndnoteReference"/>
          <w:iCs/>
          <w:color w:val="212121"/>
          <w:szCs w:val="22"/>
        </w:rPr>
        <w:endnoteReference w:id="125"/>
      </w:r>
      <w:r>
        <w:rPr>
          <w:iCs/>
          <w:color w:val="212121"/>
          <w:szCs w:val="22"/>
        </w:rPr>
        <w:t>. Some of them pointed out concrete infrastructural problems, such as damaged roads and lack of streetlights, or the expansion of the Internet penetration in villages, while other comments were critical towards the decision-makers about budget spending and general performance of the local government. Video recordings are also available in a video gallery section on the website for those, who could not watch it live</w:t>
      </w:r>
      <w:r>
        <w:rPr>
          <w:rStyle w:val="EndnoteReference"/>
          <w:iCs/>
          <w:color w:val="212121"/>
          <w:szCs w:val="22"/>
        </w:rPr>
        <w:endnoteReference w:id="126"/>
      </w:r>
      <w:r>
        <w:rPr>
          <w:iCs/>
          <w:color w:val="212121"/>
          <w:szCs w:val="22"/>
        </w:rPr>
        <w:t>.</w:t>
      </w:r>
    </w:p>
    <w:p w:rsidR="003F30AE" w:rsidRDefault="003F30AE" w:rsidP="003F30AE">
      <w:pPr>
        <w:tabs>
          <w:tab w:val="clear" w:pos="2880"/>
        </w:tabs>
        <w:spacing w:before="100" w:beforeAutospacing="1" w:after="100" w:afterAutospacing="1"/>
        <w:rPr>
          <w:iCs/>
          <w:color w:val="212121"/>
          <w:szCs w:val="22"/>
        </w:rPr>
      </w:pPr>
      <w:r w:rsidRPr="00134FBA">
        <w:rPr>
          <w:b/>
          <w:iCs/>
          <w:color w:val="212121"/>
          <w:szCs w:val="22"/>
        </w:rPr>
        <w:t>SMS notifications about the meetings and relevant updates:</w:t>
      </w:r>
      <w:r>
        <w:rPr>
          <w:iCs/>
          <w:color w:val="212121"/>
          <w:szCs w:val="22"/>
        </w:rPr>
        <w:t xml:space="preserve"> As a second activity of the commitment, the municipality assembly created a database of stakeholders, consisting of citizens, who signed a form-memorandum with the assembly to receive thematic SMS updates, based on their selected interests regarding the Assembly meetings</w:t>
      </w:r>
      <w:r>
        <w:rPr>
          <w:rStyle w:val="EndnoteReference"/>
          <w:iCs/>
          <w:color w:val="212121"/>
          <w:szCs w:val="22"/>
        </w:rPr>
        <w:endnoteReference w:id="127"/>
      </w:r>
      <w:r>
        <w:rPr>
          <w:iCs/>
          <w:color w:val="212121"/>
          <w:szCs w:val="22"/>
        </w:rPr>
        <w:t>. The service has up to 2000 subscribers overall, which is up to 14% of the overall population of Ozurgeti</w:t>
      </w:r>
      <w:r>
        <w:rPr>
          <w:rStyle w:val="EndnoteReference"/>
          <w:iCs/>
          <w:color w:val="212121"/>
          <w:szCs w:val="22"/>
        </w:rPr>
        <w:endnoteReference w:id="128"/>
      </w:r>
      <w:r>
        <w:rPr>
          <w:rStyle w:val="EndnoteReference"/>
          <w:iCs/>
          <w:color w:val="212121"/>
          <w:szCs w:val="22"/>
        </w:rPr>
        <w:endnoteReference w:id="129"/>
      </w:r>
      <w:r>
        <w:rPr>
          <w:iCs/>
          <w:color w:val="212121"/>
          <w:szCs w:val="22"/>
        </w:rPr>
        <w:t>.</w:t>
      </w:r>
    </w:p>
    <w:p w:rsidR="003F30AE" w:rsidRDefault="003F30AE" w:rsidP="003F30AE">
      <w:pPr>
        <w:tabs>
          <w:tab w:val="clear" w:pos="2880"/>
        </w:tabs>
        <w:spacing w:before="100" w:beforeAutospacing="1" w:after="100" w:afterAutospacing="1"/>
        <w:rPr>
          <w:iCs/>
          <w:color w:val="212121"/>
          <w:szCs w:val="22"/>
        </w:rPr>
      </w:pPr>
      <w:r w:rsidRPr="00134FBA">
        <w:rPr>
          <w:b/>
          <w:iCs/>
          <w:color w:val="212121"/>
          <w:szCs w:val="22"/>
        </w:rPr>
        <w:t>Electronic interviews:</w:t>
      </w:r>
      <w:r>
        <w:rPr>
          <w:iCs/>
          <w:color w:val="212121"/>
          <w:szCs w:val="22"/>
        </w:rPr>
        <w:t xml:space="preserve"> This service is also functional on the Municipality website, which allows citizens to submit 3 important issues of their villages</w:t>
      </w:r>
      <w:r>
        <w:rPr>
          <w:rStyle w:val="EndnoteReference"/>
          <w:iCs/>
          <w:color w:val="212121"/>
          <w:szCs w:val="22"/>
        </w:rPr>
        <w:endnoteReference w:id="130"/>
      </w:r>
      <w:r>
        <w:rPr>
          <w:iCs/>
          <w:color w:val="212121"/>
          <w:szCs w:val="22"/>
        </w:rPr>
        <w:t>. According to the Assembly representative, the proposals are then transferred to relevant thematic groups at the Assembly, which decide if the proposal is going to proceed to the Assembly meetings or not</w:t>
      </w:r>
      <w:r>
        <w:rPr>
          <w:rStyle w:val="EndnoteReference"/>
          <w:iCs/>
          <w:color w:val="212121"/>
          <w:szCs w:val="22"/>
        </w:rPr>
        <w:endnoteReference w:id="131"/>
      </w:r>
      <w:r>
        <w:rPr>
          <w:iCs/>
          <w:color w:val="212121"/>
          <w:szCs w:val="22"/>
        </w:rPr>
        <w:t>.</w:t>
      </w:r>
    </w:p>
    <w:p w:rsidR="003F30AE" w:rsidRDefault="003F30AE" w:rsidP="003F30AE">
      <w:pPr>
        <w:tabs>
          <w:tab w:val="clear" w:pos="2880"/>
        </w:tabs>
        <w:spacing w:before="100" w:beforeAutospacing="1" w:after="100" w:afterAutospacing="1"/>
        <w:rPr>
          <w:iCs/>
          <w:color w:val="212121"/>
          <w:szCs w:val="22"/>
        </w:rPr>
      </w:pPr>
      <w:r w:rsidRPr="00134FBA">
        <w:rPr>
          <w:b/>
          <w:iCs/>
          <w:color w:val="212121"/>
          <w:szCs w:val="22"/>
        </w:rPr>
        <w:t>Establishing 28 Centers for Civic Engagement</w:t>
      </w:r>
      <w:r>
        <w:rPr>
          <w:iCs/>
          <w:color w:val="212121"/>
          <w:szCs w:val="22"/>
        </w:rPr>
        <w:t xml:space="preserve">: At the end of the action plan period, Centers for Civic Engagement are not operational in all 28 territorial units of Ozurgeti Municipality, as planned within NAP 2016-2018. There are fully functional centers in 5 villages of </w:t>
      </w:r>
      <w:r w:rsidRPr="00C873DF">
        <w:rPr>
          <w:iCs/>
          <w:color w:val="212121"/>
          <w:szCs w:val="22"/>
        </w:rPr>
        <w:t>Konchkati, Melekeduri, Likhauri, Tkhinvali and Bakhvi</w:t>
      </w:r>
      <w:r>
        <w:rPr>
          <w:iCs/>
          <w:color w:val="212121"/>
          <w:szCs w:val="22"/>
        </w:rPr>
        <w:t xml:space="preserve"> municipalities</w:t>
      </w:r>
      <w:r>
        <w:rPr>
          <w:rStyle w:val="EndnoteReference"/>
          <w:iCs/>
          <w:color w:val="212121"/>
          <w:szCs w:val="22"/>
        </w:rPr>
        <w:endnoteReference w:id="132"/>
      </w:r>
      <w:r>
        <w:rPr>
          <w:iCs/>
          <w:color w:val="212121"/>
          <w:szCs w:val="22"/>
        </w:rPr>
        <w:t>; however, despite the fact that buildings are in place for the remaining 23, due to lack of finances, the municipality could not equip them with relevant digital technologies in the 2016-2018 period.</w:t>
      </w:r>
    </w:p>
    <w:p w:rsidR="003F30AE" w:rsidRPr="007168F4" w:rsidRDefault="003F30AE" w:rsidP="00FE5928">
      <w:pPr>
        <w:pStyle w:val="Heading3"/>
      </w:pPr>
      <w:bookmarkStart w:id="121" w:name="_Toc529199402"/>
      <w:bookmarkStart w:id="122" w:name="_Toc529997057"/>
      <w:bookmarkStart w:id="123" w:name="_Toc530910750"/>
      <w:r w:rsidRPr="002E1D13">
        <w:t>Did It Open Government?</w:t>
      </w:r>
      <w:bookmarkEnd w:id="121"/>
      <w:bookmarkEnd w:id="122"/>
      <w:bookmarkEnd w:id="123"/>
    </w:p>
    <w:p w:rsidR="003F30AE" w:rsidRPr="0090070C" w:rsidRDefault="003F30AE" w:rsidP="003F30AE">
      <w:pPr>
        <w:rPr>
          <w:rFonts w:ascii="Menlo Regular" w:hAnsi="Menlo Regular" w:cs="Menlo Regular"/>
          <w:b/>
        </w:rPr>
      </w:pPr>
      <w:r w:rsidRPr="0090070C">
        <w:rPr>
          <w:b/>
        </w:rPr>
        <w:t>Access to Information: Major</w:t>
      </w:r>
    </w:p>
    <w:p w:rsidR="003F30AE" w:rsidRPr="0090070C" w:rsidRDefault="003F30AE" w:rsidP="003F30AE">
      <w:pPr>
        <w:rPr>
          <w:b/>
        </w:rPr>
      </w:pPr>
      <w:r w:rsidRPr="0090070C">
        <w:rPr>
          <w:b/>
        </w:rPr>
        <w:t>Civic Participation: Marginal</w:t>
      </w:r>
    </w:p>
    <w:p w:rsidR="003F30AE" w:rsidRDefault="003F30AE" w:rsidP="003F30AE">
      <w:pPr>
        <w:tabs>
          <w:tab w:val="clear" w:pos="2880"/>
        </w:tabs>
        <w:spacing w:before="100" w:beforeAutospacing="1" w:after="100" w:afterAutospacing="1"/>
      </w:pPr>
      <w:r>
        <w:t xml:space="preserve">By introducing the direct transmission of the Assembly meetings, known as “Manage from Home” initiative - Ozurgeti Municipality Assembly took a major step towards providing municipality residents with increased access to information, and the opportunity to monitor the local decision-making processes. As a result of the project, citizens are able to follow all the agenda items of the Assembly meetings, including discussions on budget spending, petitions, debates on new initiatives or progress of socio-cultural and sports projects. While direct broadcasts enable following the live meetings remotely, archive of video recordings permit their viewings at any time. </w:t>
      </w:r>
      <w:r w:rsidR="00287AC5">
        <w:t xml:space="preserve">Prior to “Manage from Home”, the reports of </w:t>
      </w:r>
      <w:r w:rsidR="0082324C">
        <w:t xml:space="preserve">the </w:t>
      </w:r>
      <w:r w:rsidR="00287AC5">
        <w:t xml:space="preserve">Assembly Meetings were published on the </w:t>
      </w:r>
      <w:r w:rsidR="00287AC5">
        <w:lastRenderedPageBreak/>
        <w:t>m</w:t>
      </w:r>
      <w:r w:rsidR="00835263">
        <w:t>unicipal website, however the process was</w:t>
      </w:r>
      <w:r w:rsidR="00287AC5">
        <w:t xml:space="preserve"> </w:t>
      </w:r>
      <w:r w:rsidR="00C12C7A">
        <w:t>unsystematic</w:t>
      </w:r>
      <w:r w:rsidR="00281C6D">
        <w:t>, irregular</w:t>
      </w:r>
      <w:r w:rsidR="00C12C7A">
        <w:t xml:space="preserve"> and did not reach out for </w:t>
      </w:r>
      <w:r w:rsidR="0082324C">
        <w:t>wider audience, nor did it</w:t>
      </w:r>
      <w:r w:rsidR="00C12C7A">
        <w:t xml:space="preserve"> allow interaction</w:t>
      </w:r>
      <w:r w:rsidR="00291255">
        <w:rPr>
          <w:rStyle w:val="EndnoteReference"/>
        </w:rPr>
        <w:endnoteReference w:id="133"/>
      </w:r>
      <w:r w:rsidR="00C12C7A">
        <w:t>.</w:t>
      </w:r>
      <w:r w:rsidR="00835263">
        <w:t xml:space="preserve"> </w:t>
      </w:r>
      <w:r>
        <w:t xml:space="preserve">In terms of </w:t>
      </w:r>
      <w:r w:rsidR="00F27EA9">
        <w:t xml:space="preserve">expanding </w:t>
      </w:r>
      <w:r>
        <w:t>civic engagement, the platform made it easier for citizens to express their ideas on on-going discussions and leave feedback on almost all public gatherings at the assembly without the need to travel</w:t>
      </w:r>
      <w:r w:rsidR="00F27EA9">
        <w:t xml:space="preserve">, while delivering information in a more accessible and engaging </w:t>
      </w:r>
      <w:r w:rsidR="004B2634">
        <w:t>way</w:t>
      </w:r>
      <w:r w:rsidR="00F27EA9">
        <w:t xml:space="preserve">. </w:t>
      </w:r>
      <w:r>
        <w:t>Citizens are able to make comments and ask relevant questions, while the online questions are read out loud at the end of the Assembly meetings, after all the agenda items are covered</w:t>
      </w:r>
      <w:r>
        <w:rPr>
          <w:rStyle w:val="EndnoteReference"/>
        </w:rPr>
        <w:endnoteReference w:id="134"/>
      </w:r>
      <w:r>
        <w:rPr>
          <w:rStyle w:val="EndnoteReference"/>
        </w:rPr>
        <w:endnoteReference w:id="135"/>
      </w:r>
      <w:r>
        <w:t xml:space="preserve">. This gives them a voice and enables them to become part of the public discourse </w:t>
      </w:r>
    </w:p>
    <w:p w:rsidR="003F30AE" w:rsidRDefault="003F30AE" w:rsidP="003F30AE">
      <w:r>
        <w:t>In addition to increasing the transparency of Assembly meetings, by sending out SMS notifications and e-mails to subscribers, the government diversified its communication channels, which resulted in reaching out to more people to provide the information on upcoming Assembly meetings. The representative of a local Civil Society Organization “Progress House” assessed the service as useful for active citizens, who would like to be informed on the Assembly activities</w:t>
      </w:r>
      <w:r>
        <w:rPr>
          <w:rStyle w:val="EndnoteReference"/>
        </w:rPr>
        <w:endnoteReference w:id="136"/>
      </w:r>
      <w:r>
        <w:t>.</w:t>
      </w:r>
      <w:r w:rsidR="00DA4136">
        <w:t xml:space="preserve"> </w:t>
      </w:r>
      <w:r w:rsidR="00F459FE">
        <w:t>Previously, the information on upcoming assembly meetings was posted on Social M</w:t>
      </w:r>
      <w:r w:rsidR="00F0229D">
        <w:t xml:space="preserve">edia and </w:t>
      </w:r>
      <w:r w:rsidR="00F459FE">
        <w:t xml:space="preserve">its scope of reach was limited, </w:t>
      </w:r>
      <w:r w:rsidR="00664025">
        <w:t>however</w:t>
      </w:r>
      <w:r w:rsidR="00F459FE">
        <w:t xml:space="preserve"> </w:t>
      </w:r>
      <w:r w:rsidR="00F0229D">
        <w:t xml:space="preserve">SMS notifications and </w:t>
      </w:r>
      <w:r w:rsidR="00F6723C">
        <w:t>e-mails widened the scope of reach</w:t>
      </w:r>
      <w:r w:rsidR="004B2634">
        <w:t xml:space="preserve">. </w:t>
      </w:r>
      <w:r w:rsidR="005F3892">
        <w:t>Yet</w:t>
      </w:r>
      <w:r>
        <w:t>, stakeholder interviews and the focus group results showed that there is general reluctance of the population to subscribe, engage in civic activities and receive the information, which was explained by general distrust towards the local government</w:t>
      </w:r>
      <w:r>
        <w:rPr>
          <w:rStyle w:val="EndnoteReference"/>
        </w:rPr>
        <w:endnoteReference w:id="137"/>
      </w:r>
      <w:r>
        <w:t>.</w:t>
      </w:r>
    </w:p>
    <w:p w:rsidR="003F30AE" w:rsidRPr="002475C9" w:rsidRDefault="003F30AE" w:rsidP="003F30AE">
      <w:pPr>
        <w:pStyle w:val="NormalWeb"/>
        <w:rPr>
          <w:rFonts w:ascii="Gill Sans" w:hAnsi="Gill Sans" w:cs="Gill Sans"/>
          <w:iCs/>
          <w:color w:val="212121"/>
          <w:sz w:val="22"/>
          <w:szCs w:val="22"/>
        </w:rPr>
      </w:pPr>
      <w:r w:rsidRPr="002475C9">
        <w:rPr>
          <w:rFonts w:ascii="Gill Sans" w:hAnsi="Gill Sans" w:cs="Gill Sans"/>
          <w:iCs/>
          <w:color w:val="212121"/>
          <w:sz w:val="22"/>
          <w:szCs w:val="22"/>
        </w:rPr>
        <w:t>The Assembly representative st</w:t>
      </w:r>
      <w:r>
        <w:rPr>
          <w:rFonts w:ascii="Gill Sans" w:hAnsi="Gill Sans" w:cs="Gill Sans"/>
          <w:iCs/>
          <w:color w:val="212121"/>
          <w:sz w:val="22"/>
          <w:szCs w:val="22"/>
        </w:rPr>
        <w:t>ated to recurrently organize</w:t>
      </w:r>
      <w:r w:rsidRPr="002475C9">
        <w:rPr>
          <w:rFonts w:ascii="Gill Sans" w:hAnsi="Gill Sans" w:cs="Gill Sans"/>
          <w:iCs/>
          <w:color w:val="212121"/>
          <w:sz w:val="22"/>
          <w:szCs w:val="22"/>
        </w:rPr>
        <w:t xml:space="preserve"> outreach campaigns with partner </w:t>
      </w:r>
      <w:r>
        <w:rPr>
          <w:rFonts w:ascii="Gill Sans" w:hAnsi="Gill Sans" w:cs="Gill Sans"/>
          <w:iCs/>
          <w:color w:val="212121"/>
          <w:sz w:val="22"/>
          <w:szCs w:val="22"/>
        </w:rPr>
        <w:t>CSOs</w:t>
      </w:r>
      <w:r w:rsidRPr="002475C9">
        <w:rPr>
          <w:rFonts w:ascii="Gill Sans" w:hAnsi="Gill Sans" w:cs="Gill Sans"/>
          <w:iCs/>
          <w:color w:val="212121"/>
          <w:sz w:val="22"/>
          <w:szCs w:val="22"/>
        </w:rPr>
        <w:t xml:space="preserve">, within which they </w:t>
      </w:r>
      <w:r>
        <w:rPr>
          <w:rFonts w:ascii="Gill Sans" w:hAnsi="Gill Sans" w:cs="Gill Sans"/>
          <w:iCs/>
          <w:color w:val="212121"/>
          <w:sz w:val="22"/>
          <w:szCs w:val="22"/>
        </w:rPr>
        <w:t xml:space="preserve">already </w:t>
      </w:r>
      <w:r w:rsidRPr="002475C9">
        <w:rPr>
          <w:rFonts w:ascii="Gill Sans" w:hAnsi="Gill Sans" w:cs="Gill Sans"/>
          <w:iCs/>
          <w:color w:val="212121"/>
          <w:sz w:val="22"/>
          <w:szCs w:val="22"/>
        </w:rPr>
        <w:t>met with the local population in 24 out of 28 territorial units, introduced them</w:t>
      </w:r>
      <w:r>
        <w:rPr>
          <w:rFonts w:ascii="Gill Sans" w:hAnsi="Gill Sans" w:cs="Gill Sans"/>
          <w:iCs/>
          <w:color w:val="212121"/>
          <w:sz w:val="22"/>
          <w:szCs w:val="22"/>
        </w:rPr>
        <w:t xml:space="preserve"> to</w:t>
      </w:r>
      <w:r w:rsidRPr="002475C9">
        <w:rPr>
          <w:rFonts w:ascii="Gill Sans" w:hAnsi="Gill Sans" w:cs="Gill Sans"/>
          <w:iCs/>
          <w:color w:val="212121"/>
          <w:sz w:val="22"/>
          <w:szCs w:val="22"/>
        </w:rPr>
        <w:t xml:space="preserve"> e-services and offered to sign a form-memorandum at place to subscribe for SMS updates. </w:t>
      </w:r>
      <w:r>
        <w:rPr>
          <w:rFonts w:ascii="Gill Sans" w:hAnsi="Gill Sans" w:cs="Gill Sans"/>
          <w:iCs/>
          <w:color w:val="212121"/>
          <w:sz w:val="22"/>
          <w:szCs w:val="22"/>
        </w:rPr>
        <w:t xml:space="preserve">The </w:t>
      </w:r>
      <w:r w:rsidRPr="008B39F4">
        <w:rPr>
          <w:rFonts w:ascii="Gill Sans" w:hAnsi="Gill Sans" w:cs="Gill Sans"/>
          <w:iCs/>
          <w:color w:val="212121"/>
          <w:sz w:val="22"/>
          <w:szCs w:val="22"/>
        </w:rPr>
        <w:t>focus group parti</w:t>
      </w:r>
      <w:r>
        <w:rPr>
          <w:rFonts w:ascii="Gill Sans" w:hAnsi="Gill Sans" w:cs="Gill Sans"/>
          <w:iCs/>
          <w:color w:val="212121"/>
          <w:sz w:val="22"/>
          <w:szCs w:val="22"/>
        </w:rPr>
        <w:t>cipants expressed willingness to receive</w:t>
      </w:r>
      <w:r w:rsidRPr="008B39F4">
        <w:rPr>
          <w:rFonts w:ascii="Gill Sans" w:hAnsi="Gill Sans" w:cs="Gill Sans"/>
          <w:iCs/>
          <w:color w:val="212121"/>
          <w:sz w:val="22"/>
          <w:szCs w:val="22"/>
        </w:rPr>
        <w:t xml:space="preserve"> such information with their consent</w:t>
      </w:r>
      <w:r>
        <w:rPr>
          <w:rFonts w:ascii="Gill Sans" w:hAnsi="Gill Sans" w:cs="Gill Sans"/>
          <w:iCs/>
          <w:color w:val="212121"/>
          <w:sz w:val="22"/>
          <w:szCs w:val="22"/>
        </w:rPr>
        <w:t xml:space="preserve">. </w:t>
      </w:r>
      <w:r w:rsidRPr="008B39F4">
        <w:rPr>
          <w:rFonts w:ascii="Gill Sans" w:hAnsi="Gill Sans" w:cs="Gill Sans"/>
          <w:iCs/>
          <w:color w:val="212121"/>
          <w:sz w:val="22"/>
          <w:szCs w:val="22"/>
        </w:rPr>
        <w:t xml:space="preserve">They also mentioned e-mails to be useful for </w:t>
      </w:r>
      <w:r>
        <w:rPr>
          <w:rFonts w:ascii="Gill Sans" w:hAnsi="Gill Sans" w:cs="Gill Sans"/>
          <w:iCs/>
          <w:color w:val="212121"/>
          <w:sz w:val="22"/>
          <w:szCs w:val="22"/>
        </w:rPr>
        <w:t>receiving municipality updates. H</w:t>
      </w:r>
      <w:r w:rsidRPr="008B39F4">
        <w:rPr>
          <w:rFonts w:ascii="Gill Sans" w:hAnsi="Gill Sans" w:cs="Gill Sans"/>
          <w:iCs/>
          <w:color w:val="212121"/>
          <w:sz w:val="22"/>
          <w:szCs w:val="22"/>
        </w:rPr>
        <w:t>owever</w:t>
      </w:r>
      <w:r>
        <w:rPr>
          <w:rFonts w:ascii="Gill Sans" w:hAnsi="Gill Sans" w:cs="Gill Sans"/>
          <w:iCs/>
          <w:color w:val="212121"/>
          <w:sz w:val="22"/>
          <w:szCs w:val="22"/>
        </w:rPr>
        <w:t>, there is lower Internet penetration in the rural settlements in Georgia and alternative outreach methods should also be considered</w:t>
      </w:r>
      <w:r>
        <w:rPr>
          <w:rStyle w:val="EndnoteReference"/>
          <w:rFonts w:ascii="Gill Sans" w:hAnsi="Gill Sans" w:cs="Gill Sans"/>
          <w:iCs/>
          <w:color w:val="212121"/>
          <w:sz w:val="22"/>
          <w:szCs w:val="22"/>
        </w:rPr>
        <w:endnoteReference w:id="138"/>
      </w:r>
      <w:r>
        <w:rPr>
          <w:rFonts w:ascii="Gill Sans" w:hAnsi="Gill Sans" w:cs="Gill Sans"/>
          <w:iCs/>
          <w:color w:val="212121"/>
          <w:sz w:val="22"/>
          <w:szCs w:val="22"/>
        </w:rPr>
        <w:t xml:space="preserve">. </w:t>
      </w:r>
      <w:r w:rsidRPr="00277043">
        <w:rPr>
          <w:rFonts w:ascii="Gill Sans" w:hAnsi="Gill Sans" w:cs="Gill Sans"/>
          <w:iCs/>
          <w:color w:val="212121"/>
          <w:sz w:val="22"/>
          <w:szCs w:val="22"/>
        </w:rPr>
        <w:t xml:space="preserve">The representative of </w:t>
      </w:r>
      <w:r>
        <w:rPr>
          <w:rFonts w:ascii="Gill Sans" w:hAnsi="Gill Sans" w:cs="Gill Sans"/>
          <w:iCs/>
          <w:color w:val="212121"/>
          <w:sz w:val="22"/>
          <w:szCs w:val="22"/>
        </w:rPr>
        <w:t xml:space="preserve">another local group, </w:t>
      </w:r>
      <w:r w:rsidRPr="00277043">
        <w:rPr>
          <w:rFonts w:ascii="Gill Sans" w:hAnsi="Gill Sans" w:cs="Gill Sans"/>
          <w:iCs/>
          <w:color w:val="212121"/>
          <w:sz w:val="22"/>
          <w:szCs w:val="22"/>
        </w:rPr>
        <w:t>Democratic Development Union of Georgia stated that</w:t>
      </w:r>
      <w:r>
        <w:rPr>
          <w:rFonts w:ascii="Gill Sans" w:hAnsi="Gill Sans" w:cs="Gill Sans"/>
          <w:iCs/>
          <w:color w:val="212121"/>
          <w:sz w:val="22"/>
          <w:szCs w:val="22"/>
        </w:rPr>
        <w:t xml:space="preserve"> informational desks at the administrative buildings in each of the 28 territorial units in Ozurgeti must be regularly updated to provide detailed information for those citizens, who do not have the Internet</w:t>
      </w:r>
      <w:r>
        <w:rPr>
          <w:rStyle w:val="EndnoteReference"/>
          <w:rFonts w:ascii="Gill Sans" w:hAnsi="Gill Sans" w:cs="Gill Sans"/>
          <w:iCs/>
          <w:color w:val="212121"/>
          <w:sz w:val="22"/>
          <w:szCs w:val="22"/>
        </w:rPr>
        <w:endnoteReference w:id="139"/>
      </w:r>
      <w:r>
        <w:rPr>
          <w:rFonts w:ascii="Gill Sans" w:hAnsi="Gill Sans" w:cs="Gill Sans"/>
          <w:iCs/>
          <w:color w:val="212121"/>
          <w:sz w:val="22"/>
          <w:szCs w:val="22"/>
        </w:rPr>
        <w:t>. The purpose of these desks is to inform the public on local news and announcements, for example on upcoming Assembly meetings, or presentations of local governors reports; however, as mentioned by the representative of Democratic Development Union of Georgia, they are not regularly updated and information is often missing.</w:t>
      </w:r>
    </w:p>
    <w:p w:rsidR="003F30AE" w:rsidRDefault="003F30AE" w:rsidP="003F30AE">
      <w:pPr>
        <w:tabs>
          <w:tab w:val="clear" w:pos="2880"/>
        </w:tabs>
        <w:spacing w:before="100" w:beforeAutospacing="1" w:after="100" w:afterAutospacing="1"/>
      </w:pPr>
      <w:r>
        <w:rPr>
          <w:iCs/>
          <w:color w:val="212121"/>
          <w:szCs w:val="22"/>
        </w:rPr>
        <w:t>Despite the meetings, the representatives of both the Assembly and local CSOs – Guria Youth Resource Center and Progress House noted the low public interest in using the provided services</w:t>
      </w:r>
      <w:r>
        <w:rPr>
          <w:rStyle w:val="EndnoteReference"/>
          <w:iCs/>
          <w:color w:val="212121"/>
          <w:szCs w:val="22"/>
        </w:rPr>
        <w:endnoteReference w:id="140"/>
      </w:r>
      <w:r>
        <w:rPr>
          <w:iCs/>
          <w:color w:val="212121"/>
          <w:szCs w:val="22"/>
        </w:rPr>
        <w:t>. They accentuated the importance of expanding awareness raising campaigns and outreach initiatives to better inform public. The focus group participants stated that the population was reluctant to engage in local governance initiatives due to skepticism towards the municipality to take into consideration their complaints and suggestions</w:t>
      </w:r>
      <w:r>
        <w:rPr>
          <w:rStyle w:val="EndnoteReference"/>
          <w:iCs/>
          <w:color w:val="212121"/>
          <w:szCs w:val="22"/>
        </w:rPr>
        <w:endnoteReference w:id="141"/>
      </w:r>
      <w:r>
        <w:rPr>
          <w:iCs/>
          <w:color w:val="212121"/>
          <w:szCs w:val="22"/>
        </w:rPr>
        <w:t xml:space="preserve">. </w:t>
      </w:r>
      <w:r>
        <w:t>This underlines the need for stronger communication to build trust and inform public on services available to them.</w:t>
      </w:r>
    </w:p>
    <w:p w:rsidR="003F30AE" w:rsidRDefault="003F30AE" w:rsidP="003F30AE">
      <w:pPr>
        <w:tabs>
          <w:tab w:val="clear" w:pos="2880"/>
        </w:tabs>
        <w:spacing w:before="100" w:beforeAutospacing="1" w:after="100" w:afterAutospacing="1"/>
        <w:rPr>
          <w:iCs/>
          <w:color w:val="212121"/>
          <w:szCs w:val="22"/>
        </w:rPr>
      </w:pPr>
      <w:r>
        <w:rPr>
          <w:iCs/>
          <w:color w:val="212121"/>
          <w:szCs w:val="22"/>
        </w:rPr>
        <w:lastRenderedPageBreak/>
        <w:t>3 out of 6 Ozurgeti focus group participants recalled receiving SMS from the municipality in Autumn 2016 without signing up or being registered on any platform. As a result, the focus group participants expressed concerns regarding private information confidentiality and disclosure of their numbers to third parties for advertising reasons. However, according to the Progress House representative, this was a single campaign held in 2016 pre-election period, where citizens received notifications regardless of their desire, while the current SMS service requires subscription.</w:t>
      </w:r>
      <w:r w:rsidRPr="001E71E8">
        <w:rPr>
          <w:iCs/>
          <w:color w:val="212121"/>
          <w:szCs w:val="22"/>
        </w:rPr>
        <w:t xml:space="preserve"> </w:t>
      </w:r>
      <w:r>
        <w:rPr>
          <w:iCs/>
          <w:color w:val="212121"/>
          <w:szCs w:val="22"/>
        </w:rPr>
        <w:t xml:space="preserve">Some participants have heard about the SMS service of the commitment, however they thought that only media representatives and journalists received SMS notifications on upcoming Assembly meetings, while ordinary citizens did not. This indicates a lack of awareness on some of the services provided by the assembly. </w:t>
      </w:r>
    </w:p>
    <w:p w:rsidR="003F30AE" w:rsidRPr="00C73F01" w:rsidRDefault="003F30AE" w:rsidP="003F30AE">
      <w:pPr>
        <w:tabs>
          <w:tab w:val="clear" w:pos="2880"/>
        </w:tabs>
        <w:spacing w:before="100" w:beforeAutospacing="1" w:after="100" w:afterAutospacing="1"/>
        <w:rPr>
          <w:iCs/>
          <w:color w:val="212121"/>
          <w:szCs w:val="22"/>
        </w:rPr>
      </w:pPr>
      <w:r>
        <w:rPr>
          <w:iCs/>
          <w:color w:val="212121"/>
          <w:szCs w:val="22"/>
        </w:rPr>
        <w:t>Beyond the commitment, the Assembly introduced electronic petitions mechanism in Spring 2018. The municipality has received 6 e-petitions since. It must be noted, that the government lowered the number of voter signatures required to register the petitions to the Assembly, which made the petitions submission process easier for citizens</w:t>
      </w:r>
      <w:r>
        <w:rPr>
          <w:rStyle w:val="EndnoteReference"/>
          <w:iCs/>
          <w:color w:val="212121"/>
          <w:szCs w:val="22"/>
        </w:rPr>
        <w:endnoteReference w:id="142"/>
      </w:r>
      <w:r>
        <w:rPr>
          <w:rStyle w:val="EndnoteReference"/>
          <w:iCs/>
          <w:color w:val="212121"/>
          <w:szCs w:val="22"/>
        </w:rPr>
        <w:endnoteReference w:id="143"/>
      </w:r>
      <w:r>
        <w:rPr>
          <w:iCs/>
          <w:color w:val="212121"/>
          <w:szCs w:val="22"/>
        </w:rPr>
        <w:t>.</w:t>
      </w:r>
    </w:p>
    <w:p w:rsidR="003F30AE" w:rsidRDefault="003F30AE" w:rsidP="00FE5928">
      <w:pPr>
        <w:pStyle w:val="Heading3"/>
      </w:pPr>
      <w:bookmarkStart w:id="124" w:name="_Toc529199403"/>
      <w:bookmarkStart w:id="125" w:name="_Toc529997058"/>
      <w:bookmarkStart w:id="126" w:name="_Toc530910751"/>
      <w:r w:rsidRPr="0090293B">
        <w:t>Carried Forward?</w:t>
      </w:r>
      <w:bookmarkEnd w:id="124"/>
      <w:bookmarkEnd w:id="125"/>
      <w:bookmarkEnd w:id="126"/>
    </w:p>
    <w:p w:rsidR="003F30AE" w:rsidRDefault="003F30AE" w:rsidP="003F30AE">
      <w:pPr>
        <w:tabs>
          <w:tab w:val="clear" w:pos="2880"/>
        </w:tabs>
        <w:spacing w:before="100" w:beforeAutospacing="1" w:after="100" w:afterAutospacing="1"/>
      </w:pPr>
      <w:r>
        <w:t xml:space="preserve">The commitment was not carried forward in the new Action Plan 2018-2019. </w:t>
      </w:r>
      <w:r w:rsidR="00C73F01">
        <w:t xml:space="preserve"> According to t</w:t>
      </w:r>
      <w:r>
        <w:t>he Assembly representative</w:t>
      </w:r>
      <w:r w:rsidR="00C73F01">
        <w:t>,</w:t>
      </w:r>
      <w:r>
        <w:t xml:space="preserve"> they are working on resource mobilization to finalize the establishment of the remaining 23 centers, especially as the buildings are in place and the resources will be directed at purchasing digital technologies. </w:t>
      </w:r>
      <w:r>
        <w:rPr>
          <w:iCs/>
          <w:color w:val="212121"/>
          <w:szCs w:val="22"/>
        </w:rPr>
        <w:t>As the number of Centers for Civic Engagement has remained the same since the midterm assessment, it is still important that the remaining 23 CCEs become fully functional</w:t>
      </w:r>
      <w:r w:rsidR="00C73F01">
        <w:rPr>
          <w:iCs/>
          <w:color w:val="212121"/>
          <w:szCs w:val="22"/>
        </w:rPr>
        <w:t>.</w:t>
      </w:r>
    </w:p>
    <w:p w:rsidR="003F30AE" w:rsidRPr="006F39B2" w:rsidRDefault="003F30AE" w:rsidP="003F30AE">
      <w:r w:rsidRPr="006F39B2">
        <w:rPr>
          <w:rFonts w:hint="cs"/>
        </w:rPr>
        <w:t>Within the latest NAP 2018-2019, Ozurgeti Municipality Assembly together with Ozurgeti City Hall has committed to develop evaluation standards to assess previously introduced public services and citizen satisfaction with these services. This can be seen as a logical step after launching the services, in order to identify gaps and plan sufficient actions to address them, including in communication and awareness raising.</w:t>
      </w:r>
    </w:p>
    <w:p w:rsidR="003F30AE" w:rsidRPr="007573D5" w:rsidRDefault="003F30AE" w:rsidP="003F30AE">
      <w:pPr>
        <w:pStyle w:val="NormalWeb"/>
        <w:rPr>
          <w:rFonts w:ascii="Gill Sans" w:hAnsi="Gill Sans" w:cs="Gill Sans"/>
          <w:iCs/>
          <w:color w:val="212121"/>
          <w:sz w:val="22"/>
          <w:szCs w:val="22"/>
        </w:rPr>
        <w:sectPr w:rsidR="003F30AE" w:rsidRPr="007573D5" w:rsidSect="003F30AE">
          <w:footnotePr>
            <w:numFmt w:val="lowerRoman"/>
          </w:footnotePr>
          <w:endnotePr>
            <w:numFmt w:val="decimal"/>
            <w:numRestart w:val="eachSect"/>
          </w:endnotePr>
          <w:pgSz w:w="11900" w:h="16840"/>
          <w:pgMar w:top="1440" w:right="1800" w:bottom="1440" w:left="1800" w:header="708" w:footer="708" w:gutter="0"/>
          <w:cols w:space="708"/>
          <w:docGrid w:linePitch="360"/>
        </w:sectPr>
      </w:pPr>
      <w:r w:rsidRPr="006F39B2">
        <w:rPr>
          <w:rFonts w:ascii="Gill Sans" w:hAnsi="Gill Sans" w:cs="Gill Sans" w:hint="cs"/>
          <w:iCs/>
          <w:color w:val="212121"/>
          <w:sz w:val="22"/>
          <w:szCs w:val="22"/>
        </w:rPr>
        <w:t>As a continuation of the SMS service, the Progress House representative recommended to send out follow-up text messages regarding the outcomes of the Assembly meetings, with links in the text, which will lead to the municipality website for more detailed information. To take the commitment forward, the IRM researcher also advised to develop a standardized procedure, which will oblige the Assembly to provide feedback on citizens’ proposals submitted to the Assembly through the online survey portal</w:t>
      </w:r>
      <w:r w:rsidRPr="00A428B2">
        <w:rPr>
          <w:rStyle w:val="EndnoteReference"/>
          <w:rFonts w:ascii="Gill Sans" w:hAnsi="Gill Sans" w:cs="Gill Sans"/>
          <w:iCs/>
          <w:color w:val="212121"/>
          <w:sz w:val="22"/>
          <w:szCs w:val="22"/>
        </w:rPr>
        <w:endnoteReference w:id="144"/>
      </w:r>
    </w:p>
    <w:p w:rsidR="003F30AE" w:rsidRPr="00A5200D" w:rsidRDefault="003F30AE" w:rsidP="003F30AE">
      <w:pPr>
        <w:pStyle w:val="Heading1"/>
        <w:rPr>
          <w:sz w:val="26"/>
          <w:szCs w:val="26"/>
        </w:rPr>
      </w:pPr>
      <w:bookmarkStart w:id="127" w:name="_Toc530910752"/>
      <w:bookmarkStart w:id="128" w:name="_Toc409220396"/>
      <w:r w:rsidRPr="00A5200D">
        <w:rPr>
          <w:sz w:val="26"/>
          <w:szCs w:val="26"/>
        </w:rPr>
        <w:lastRenderedPageBreak/>
        <w:t>24. Creation of electronic mechanism for local budget planning in Kutaisi, Ozurgeti, Batumi, and Akhaltsikhe</w:t>
      </w:r>
      <w:bookmarkEnd w:id="127"/>
      <w:bookmarkEnd w:id="128"/>
      <w:r w:rsidRPr="00A5200D">
        <w:rPr>
          <w:sz w:val="26"/>
          <w:szCs w:val="26"/>
        </w:rPr>
        <w:t xml:space="preserve"> </w:t>
      </w:r>
    </w:p>
    <w:p w:rsidR="003F30AE" w:rsidRDefault="003F30AE" w:rsidP="003F30AE">
      <w:pPr>
        <w:pStyle w:val="NormalWeb"/>
      </w:pPr>
      <w:r>
        <w:rPr>
          <w:rFonts w:ascii="Gill Sans" w:hAnsi="Gill Sans" w:cs="Gill Sans"/>
          <w:b/>
          <w:bCs/>
          <w:sz w:val="22"/>
          <w:szCs w:val="22"/>
        </w:rPr>
        <w:t xml:space="preserve">Commitment Text: </w:t>
      </w:r>
    </w:p>
    <w:p w:rsidR="003F30AE" w:rsidRDefault="006F39B2" w:rsidP="003F30AE">
      <w:pPr>
        <w:pStyle w:val="NormalWeb"/>
      </w:pPr>
      <w:r>
        <w:rPr>
          <w:rFonts w:ascii="Gill Sans" w:hAnsi="Gill Sans" w:cs="Gill Sans"/>
          <w:i/>
          <w:iCs/>
          <w:color w:val="212121"/>
          <w:sz w:val="22"/>
          <w:szCs w:val="22"/>
        </w:rPr>
        <w:t xml:space="preserve"> </w:t>
      </w:r>
      <w:r w:rsidR="003F30AE">
        <w:rPr>
          <w:rFonts w:ascii="Gill Sans" w:hAnsi="Gill Sans" w:cs="Gill Sans"/>
          <w:i/>
          <w:iCs/>
          <w:color w:val="212121"/>
          <w:sz w:val="22"/>
          <w:szCs w:val="22"/>
        </w:rPr>
        <w:t xml:space="preserve">Relevant services of Kutaisi, Ozurgeti, Batumi and Akhaltsikhe municipalities actively work on the issues of budgetary process transparency. By the support of USAID’s Good Governance Initiative in Georgia (GGI) the work is carried out on the local level to promote budgetary processes and improve mechanisms for public participation. </w:t>
      </w:r>
    </w:p>
    <w:p w:rsidR="003F30AE" w:rsidRDefault="003F30AE" w:rsidP="003F30AE">
      <w:pPr>
        <w:pStyle w:val="NormalWeb"/>
      </w:pPr>
      <w:r>
        <w:rPr>
          <w:rFonts w:ascii="Gill Sans" w:hAnsi="Gill Sans" w:cs="Gill Sans"/>
          <w:i/>
          <w:iCs/>
          <w:color w:val="212121"/>
          <w:sz w:val="22"/>
          <w:szCs w:val="22"/>
        </w:rPr>
        <w:t xml:space="preserve">In the framework of the third Action Plan OGP, four identified cities will ensure creation of an electronic mechanism “Plan City Budget” and add it to the municipality webpage. Furthermore, in regard to the local budget, a citizen’s guidebook will be developed. </w:t>
      </w:r>
    </w:p>
    <w:p w:rsidR="003F30AE" w:rsidRDefault="003F30AE" w:rsidP="003F30AE">
      <w:pPr>
        <w:pStyle w:val="NormalWeb"/>
      </w:pPr>
      <w:r>
        <w:rPr>
          <w:rFonts w:ascii="Gill Sans" w:hAnsi="Gill Sans" w:cs="Gill Sans"/>
          <w:i/>
          <w:iCs/>
          <w:color w:val="212121"/>
          <w:sz w:val="22"/>
          <w:szCs w:val="22"/>
        </w:rPr>
        <w:t xml:space="preserve">Milestones: </w:t>
      </w:r>
    </w:p>
    <w:p w:rsidR="003F30AE" w:rsidRDefault="003F30AE" w:rsidP="003F30AE">
      <w:pPr>
        <w:pStyle w:val="NormalWeb"/>
      </w:pPr>
      <w:r>
        <w:rPr>
          <w:rFonts w:ascii="Gill Sans" w:hAnsi="Gill Sans" w:cs="Gill Sans"/>
          <w:i/>
          <w:iCs/>
          <w:color w:val="212121"/>
          <w:sz w:val="22"/>
          <w:szCs w:val="22"/>
        </w:rPr>
        <w:lastRenderedPageBreak/>
        <w:t>Prepare local program budget of the municipality</w:t>
      </w:r>
      <w:r>
        <w:rPr>
          <w:rFonts w:ascii="Gill Sans" w:hAnsi="Gill Sans" w:cs="Gill Sans"/>
          <w:i/>
          <w:iCs/>
          <w:color w:val="212121"/>
          <w:sz w:val="22"/>
          <w:szCs w:val="22"/>
        </w:rPr>
        <w:br/>
        <w:t xml:space="preserve">Create electronic mechanism “Plan City Budget” to define local budget priorities of the municipality Develop citizen’s guidebook in regard to local budget of the municipality </w:t>
      </w:r>
    </w:p>
    <w:p w:rsidR="003F30AE" w:rsidRDefault="003F30AE" w:rsidP="003F30AE">
      <w:pPr>
        <w:pStyle w:val="NormalWeb"/>
      </w:pPr>
      <w:r>
        <w:rPr>
          <w:rFonts w:ascii="Gill Sans" w:hAnsi="Gill Sans" w:cs="Gill Sans"/>
          <w:b/>
          <w:bCs/>
          <w:sz w:val="22"/>
          <w:szCs w:val="22"/>
        </w:rPr>
        <w:t xml:space="preserve">Responsible institution: </w:t>
      </w:r>
      <w:r>
        <w:rPr>
          <w:rFonts w:ascii="Gill Sans" w:hAnsi="Gill Sans" w:cs="Gill Sans"/>
          <w:sz w:val="22"/>
          <w:szCs w:val="22"/>
        </w:rPr>
        <w:t xml:space="preserve">Kutaisi Municipality Town Hall, Ozurgeti Municipality Assembly, Batumi Municipality Town Hall, Akhaltsikhe Municipality Town Hall </w:t>
      </w:r>
    </w:p>
    <w:p w:rsidR="003F30AE" w:rsidRDefault="003F30AE" w:rsidP="003F30AE">
      <w:pPr>
        <w:pStyle w:val="NormalWeb"/>
        <w:rPr>
          <w:rFonts w:ascii="Gill Sans" w:hAnsi="Gill Sans" w:cs="Gill Sans"/>
          <w:sz w:val="22"/>
          <w:szCs w:val="22"/>
        </w:rPr>
      </w:pPr>
      <w:r>
        <w:rPr>
          <w:rFonts w:ascii="Gill Sans" w:hAnsi="Gill Sans" w:cs="Gill Sans"/>
          <w:b/>
          <w:bCs/>
          <w:sz w:val="22"/>
          <w:szCs w:val="22"/>
        </w:rPr>
        <w:t xml:space="preserve">Supporting institution(s): </w:t>
      </w:r>
      <w:r>
        <w:rPr>
          <w:rFonts w:ascii="Gill Sans" w:hAnsi="Gill Sans" w:cs="Gill Sans"/>
          <w:sz w:val="22"/>
          <w:szCs w:val="22"/>
        </w:rPr>
        <w:t xml:space="preserve">The project of USAID Good Governance Initiative in </w:t>
      </w:r>
      <w:r w:rsidRPr="00194B8E">
        <w:rPr>
          <w:rFonts w:ascii="Gill Sans" w:hAnsi="Gill Sans" w:cs="Gill Sans"/>
          <w:sz w:val="22"/>
          <w:szCs w:val="22"/>
        </w:rPr>
        <w:t>Georgia; Forum participant nongovernmental organizations</w:t>
      </w:r>
    </w:p>
    <w:p w:rsidR="003F30AE" w:rsidRDefault="003F30AE" w:rsidP="003F30AE">
      <w:pPr>
        <w:pStyle w:val="NormalWeb"/>
        <w:rPr>
          <w:rFonts w:ascii="Gill Sans" w:hAnsi="Gill Sans" w:cs="Gill Sans"/>
          <w:sz w:val="22"/>
          <w:szCs w:val="22"/>
        </w:rPr>
      </w:pPr>
      <w:r>
        <w:rPr>
          <w:rFonts w:ascii="Gill Sans" w:hAnsi="Gill Sans" w:cs="Gill Sans"/>
          <w:b/>
          <w:bCs/>
          <w:sz w:val="22"/>
          <w:szCs w:val="22"/>
        </w:rPr>
        <w:t xml:space="preserve">Start date: </w:t>
      </w:r>
      <w:r w:rsidRPr="007C0184">
        <w:rPr>
          <w:rFonts w:ascii="Gill Sans" w:hAnsi="Gill Sans" w:cs="Gill Sans"/>
          <w:sz w:val="22"/>
          <w:szCs w:val="22"/>
        </w:rPr>
        <w:t>September 2016</w:t>
      </w:r>
    </w:p>
    <w:p w:rsidR="003F30AE" w:rsidRDefault="003F30AE" w:rsidP="003F30AE">
      <w:pPr>
        <w:pStyle w:val="NormalWeb"/>
      </w:pPr>
      <w:r>
        <w:rPr>
          <w:rFonts w:ascii="Gill Sans" w:hAnsi="Gill Sans" w:cs="Gill Sans"/>
          <w:b/>
          <w:bCs/>
          <w:sz w:val="22"/>
          <w:szCs w:val="22"/>
        </w:rPr>
        <w:t xml:space="preserve">End date: </w:t>
      </w:r>
      <w:r>
        <w:rPr>
          <w:rFonts w:ascii="Gill Sans" w:hAnsi="Gill Sans" w:cs="Gill Sans"/>
          <w:sz w:val="22"/>
          <w:szCs w:val="22"/>
        </w:rPr>
        <w:t>December 2017</w:t>
      </w:r>
    </w:p>
    <w:tbl>
      <w:tblPr>
        <w:tblpPr w:leftFromText="180" w:rightFromText="180" w:vertAnchor="text" w:horzAnchor="page" w:tblpX="752" w:tblpY="63"/>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9"/>
        <w:gridCol w:w="379"/>
        <w:gridCol w:w="19"/>
        <w:gridCol w:w="370"/>
        <w:gridCol w:w="29"/>
        <w:gridCol w:w="398"/>
        <w:gridCol w:w="399"/>
        <w:gridCol w:w="450"/>
        <w:gridCol w:w="360"/>
        <w:gridCol w:w="450"/>
        <w:gridCol w:w="360"/>
        <w:gridCol w:w="520"/>
        <w:gridCol w:w="20"/>
        <w:gridCol w:w="450"/>
        <w:gridCol w:w="50"/>
        <w:gridCol w:w="520"/>
        <w:gridCol w:w="60"/>
        <w:gridCol w:w="461"/>
        <w:gridCol w:w="445"/>
        <w:gridCol w:w="455"/>
        <w:gridCol w:w="363"/>
        <w:gridCol w:w="425"/>
        <w:gridCol w:w="373"/>
      </w:tblGrid>
      <w:tr w:rsidR="006F39B2" w:rsidRPr="006E7C15" w:rsidTr="00846D2A">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rsidR="006F39B2" w:rsidRPr="006E7C15" w:rsidRDefault="006F39B2" w:rsidP="00846D2A">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rsidR="006F39B2" w:rsidRPr="006E7C15" w:rsidRDefault="006F39B2" w:rsidP="00846D2A">
            <w:r w:rsidRPr="006E7C15">
              <w:t>Specificity</w:t>
            </w:r>
          </w:p>
        </w:tc>
        <w:tc>
          <w:tcPr>
            <w:tcW w:w="1992" w:type="dxa"/>
            <w:gridSpan w:val="8"/>
            <w:vMerge w:val="restart"/>
            <w:tcBorders>
              <w:top w:val="single" w:sz="18" w:space="0" w:color="FFFFFF"/>
              <w:left w:val="single" w:sz="18" w:space="0" w:color="FFFFFF"/>
              <w:right w:val="single" w:sz="18" w:space="0" w:color="FFFFFF"/>
            </w:tcBorders>
            <w:shd w:val="clear" w:color="auto" w:fill="FBD4B4"/>
            <w:vAlign w:val="center"/>
          </w:tcPr>
          <w:p w:rsidR="006F39B2" w:rsidRPr="006E7C15" w:rsidRDefault="006F39B2" w:rsidP="00846D2A">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rsidR="006F39B2" w:rsidRPr="003D5F1A" w:rsidRDefault="006F39B2" w:rsidP="00846D2A">
            <w:r w:rsidRPr="003D5F1A">
              <w:t>Potential Impact</w:t>
            </w:r>
          </w:p>
        </w:tc>
        <w:tc>
          <w:tcPr>
            <w:tcW w:w="990" w:type="dxa"/>
            <w:gridSpan w:val="3"/>
            <w:vMerge w:val="restart"/>
            <w:tcBorders>
              <w:top w:val="single" w:sz="18" w:space="0" w:color="FFFFFF"/>
              <w:left w:val="single" w:sz="18" w:space="0" w:color="FFFFFF"/>
              <w:right w:val="single" w:sz="2" w:space="0" w:color="FFFFFF"/>
            </w:tcBorders>
            <w:shd w:val="clear" w:color="auto" w:fill="B8CCE4"/>
          </w:tcPr>
          <w:p w:rsidR="006F39B2" w:rsidRPr="003D5F1A" w:rsidRDefault="006F39B2" w:rsidP="00846D2A">
            <w:r w:rsidRPr="003D5F1A">
              <w:t>Completion</w:t>
            </w:r>
          </w:p>
        </w:tc>
        <w:tc>
          <w:tcPr>
            <w:tcW w:w="1091" w:type="dxa"/>
            <w:gridSpan w:val="4"/>
            <w:tcBorders>
              <w:top w:val="single" w:sz="18" w:space="0" w:color="FFFFFF"/>
              <w:left w:val="single" w:sz="2" w:space="0" w:color="FFFFFF"/>
              <w:bottom w:val="single" w:sz="2" w:space="0" w:color="000000"/>
              <w:right w:val="single" w:sz="18" w:space="0" w:color="FFFFFF"/>
            </w:tcBorders>
            <w:shd w:val="clear" w:color="auto" w:fill="B8CCE4"/>
          </w:tcPr>
          <w:p w:rsidR="006F39B2" w:rsidRPr="006E7C15" w:rsidRDefault="006F39B2" w:rsidP="00846D2A">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rsidR="006F39B2" w:rsidRPr="00A428B2" w:rsidRDefault="006F39B2" w:rsidP="00846D2A">
            <w:r w:rsidRPr="00A428B2">
              <w:t>Did It Open Government?</w:t>
            </w:r>
          </w:p>
        </w:tc>
      </w:tr>
      <w:tr w:rsidR="006F39B2" w:rsidRPr="006E7C15" w:rsidTr="00846D2A">
        <w:trPr>
          <w:trHeight w:val="373"/>
        </w:trPr>
        <w:tc>
          <w:tcPr>
            <w:tcW w:w="1596" w:type="dxa"/>
            <w:vMerge/>
            <w:tcBorders>
              <w:left w:val="single" w:sz="4" w:space="0" w:color="FFFFFF"/>
              <w:right w:val="single" w:sz="18" w:space="0" w:color="FFFFFF"/>
            </w:tcBorders>
            <w:shd w:val="clear" w:color="auto" w:fill="000000"/>
            <w:vAlign w:val="center"/>
          </w:tcPr>
          <w:p w:rsidR="006F39B2" w:rsidRPr="006E7C15" w:rsidRDefault="006F39B2" w:rsidP="00846D2A">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rsidR="006F39B2" w:rsidRPr="006E7C15" w:rsidRDefault="006F39B2" w:rsidP="00846D2A"/>
        </w:tc>
        <w:tc>
          <w:tcPr>
            <w:tcW w:w="1992" w:type="dxa"/>
            <w:gridSpan w:val="8"/>
            <w:vMerge/>
            <w:tcBorders>
              <w:left w:val="single" w:sz="18" w:space="0" w:color="FFFFFF"/>
              <w:bottom w:val="single" w:sz="18" w:space="0" w:color="FFFFFF"/>
              <w:right w:val="single" w:sz="18" w:space="0" w:color="FFFFFF"/>
            </w:tcBorders>
            <w:shd w:val="clear" w:color="auto" w:fill="FBD4B4"/>
            <w:vAlign w:val="center"/>
          </w:tcPr>
          <w:p w:rsidR="006F39B2" w:rsidRPr="006E7C15" w:rsidRDefault="006F39B2" w:rsidP="00846D2A"/>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rsidR="006F39B2" w:rsidRPr="006E7C15" w:rsidRDefault="006F39B2" w:rsidP="00846D2A"/>
        </w:tc>
        <w:tc>
          <w:tcPr>
            <w:tcW w:w="990" w:type="dxa"/>
            <w:gridSpan w:val="3"/>
            <w:vMerge/>
            <w:tcBorders>
              <w:left w:val="single" w:sz="18" w:space="0" w:color="FFFFFF"/>
              <w:bottom w:val="single" w:sz="18" w:space="0" w:color="FFFFFF"/>
              <w:right w:val="single" w:sz="2" w:space="0" w:color="FFFFFF"/>
            </w:tcBorders>
            <w:shd w:val="clear" w:color="auto" w:fill="B8CCE4"/>
          </w:tcPr>
          <w:p w:rsidR="006F39B2" w:rsidRPr="006E7C15" w:rsidRDefault="006F39B2" w:rsidP="00846D2A"/>
        </w:tc>
        <w:tc>
          <w:tcPr>
            <w:tcW w:w="1091" w:type="dxa"/>
            <w:gridSpan w:val="4"/>
            <w:tcBorders>
              <w:top w:val="single" w:sz="2" w:space="0" w:color="000000"/>
              <w:left w:val="single" w:sz="2" w:space="0" w:color="FFFFFF"/>
              <w:bottom w:val="single" w:sz="18" w:space="0" w:color="FFFFFF"/>
              <w:right w:val="single" w:sz="18" w:space="0" w:color="FFFFFF"/>
            </w:tcBorders>
            <w:shd w:val="clear" w:color="auto" w:fill="B8CCE4"/>
          </w:tcPr>
          <w:p w:rsidR="006F39B2" w:rsidRPr="006E7C15" w:rsidRDefault="006F39B2" w:rsidP="00846D2A">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rsidR="006F39B2" w:rsidRPr="006E7C15" w:rsidRDefault="006F39B2" w:rsidP="00846D2A"/>
        </w:tc>
      </w:tr>
      <w:tr w:rsidR="006F39B2" w:rsidRPr="006E7C15" w:rsidTr="00846D2A">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rsidR="006F39B2" w:rsidRPr="006E7C15" w:rsidRDefault="006F39B2" w:rsidP="00846D2A">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rsidR="006F39B2" w:rsidRPr="006E7C15" w:rsidRDefault="006F39B2" w:rsidP="00846D2A">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F39B2" w:rsidRPr="006E7C15" w:rsidRDefault="006F39B2" w:rsidP="00846D2A">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rsidR="006F39B2" w:rsidRPr="006E7C15" w:rsidRDefault="006F39B2" w:rsidP="00846D2A">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rsidR="006F39B2" w:rsidRPr="006E7C15" w:rsidRDefault="006F39B2" w:rsidP="00846D2A">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F39B2" w:rsidRPr="006E7C15" w:rsidRDefault="006F39B2" w:rsidP="00846D2A">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F39B2" w:rsidRPr="006E7C15" w:rsidRDefault="006F39B2" w:rsidP="00846D2A">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rsidR="006F39B2" w:rsidRPr="006E7C15" w:rsidRDefault="006F39B2" w:rsidP="00846D2A">
            <w:r w:rsidRPr="006E7C15">
              <w:t>Public Accountability</w:t>
            </w:r>
          </w:p>
        </w:tc>
        <w:tc>
          <w:tcPr>
            <w:tcW w:w="826" w:type="dxa"/>
            <w:gridSpan w:val="3"/>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rsidR="006F39B2" w:rsidRPr="006E7C15" w:rsidRDefault="006F39B2" w:rsidP="00846D2A">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rsidR="006F39B2" w:rsidRPr="006E7C15" w:rsidRDefault="006F39B2" w:rsidP="00846D2A">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F39B2" w:rsidRPr="006E7C15" w:rsidRDefault="006F39B2" w:rsidP="00846D2A">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rsidR="006F39B2" w:rsidRPr="006E7C15" w:rsidRDefault="006F39B2" w:rsidP="00846D2A">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rsidR="006F39B2" w:rsidRPr="006E7C15" w:rsidRDefault="006F39B2" w:rsidP="00846D2A">
            <w:r w:rsidRPr="006E7C15">
              <w:t>Transformative</w:t>
            </w:r>
          </w:p>
        </w:tc>
        <w:tc>
          <w:tcPr>
            <w:tcW w:w="540" w:type="dxa"/>
            <w:gridSpan w:val="2"/>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rsidR="006F39B2" w:rsidRPr="006E7C15" w:rsidRDefault="006F39B2" w:rsidP="00846D2A">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F39B2" w:rsidRPr="006E7C15" w:rsidRDefault="006F39B2" w:rsidP="00846D2A">
            <w:r w:rsidRPr="006E7C15">
              <w:t>Limited</w:t>
            </w:r>
          </w:p>
        </w:tc>
        <w:tc>
          <w:tcPr>
            <w:tcW w:w="630" w:type="dxa"/>
            <w:gridSpan w:val="3"/>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rsidR="006F39B2" w:rsidRPr="006E7C15" w:rsidRDefault="006F39B2" w:rsidP="00846D2A">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rsidR="006F39B2" w:rsidRPr="006E7C15" w:rsidRDefault="006F39B2" w:rsidP="00846D2A">
            <w:r w:rsidRPr="006E7C15">
              <w:t>Completed</w:t>
            </w:r>
          </w:p>
        </w:tc>
        <w:tc>
          <w:tcPr>
            <w:tcW w:w="445"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rsidR="006F39B2" w:rsidRPr="006E7C15" w:rsidRDefault="006F39B2" w:rsidP="00846D2A">
            <w:r w:rsidRPr="006E7C15">
              <w:t>Worsened</w:t>
            </w:r>
          </w:p>
        </w:tc>
        <w:tc>
          <w:tcPr>
            <w:tcW w:w="455"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F39B2" w:rsidRPr="006E7C15" w:rsidRDefault="006F39B2" w:rsidP="00846D2A">
            <w:r w:rsidRPr="006E7C15">
              <w:t>Did Not Change</w:t>
            </w:r>
          </w:p>
        </w:tc>
        <w:tc>
          <w:tcPr>
            <w:tcW w:w="363"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F39B2" w:rsidRPr="006E7C15" w:rsidRDefault="006F39B2" w:rsidP="00846D2A">
            <w:r w:rsidRPr="006E7C15">
              <w:t>Marginal</w:t>
            </w:r>
          </w:p>
        </w:tc>
        <w:tc>
          <w:tcPr>
            <w:tcW w:w="425"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rsidR="006F39B2" w:rsidRPr="006E7C15" w:rsidRDefault="006F39B2" w:rsidP="00846D2A">
            <w:r w:rsidRPr="006E7C15">
              <w:t xml:space="preserve">Major </w:t>
            </w:r>
          </w:p>
        </w:tc>
        <w:tc>
          <w:tcPr>
            <w:tcW w:w="37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rsidR="006F39B2" w:rsidRPr="006E7C15" w:rsidRDefault="006F39B2" w:rsidP="00846D2A">
            <w:r w:rsidRPr="006E7C15">
              <w:t>Outstanding</w:t>
            </w:r>
          </w:p>
        </w:tc>
      </w:tr>
      <w:tr w:rsidR="006F39B2" w:rsidRPr="006E7C15" w:rsidTr="00846D2A">
        <w:trPr>
          <w:trHeight w:val="1279"/>
        </w:trPr>
        <w:tc>
          <w:tcPr>
            <w:tcW w:w="1596" w:type="dxa"/>
            <w:vMerge w:val="restart"/>
            <w:tcBorders>
              <w:top w:val="single" w:sz="18" w:space="0" w:color="FFFFFF"/>
              <w:left w:val="single" w:sz="4" w:space="0" w:color="FFFFFF"/>
            </w:tcBorders>
            <w:shd w:val="clear" w:color="auto" w:fill="000000"/>
            <w:vAlign w:val="center"/>
          </w:tcPr>
          <w:p w:rsidR="006F39B2" w:rsidRPr="006E7C15" w:rsidRDefault="006F39B2" w:rsidP="00846D2A">
            <w:pPr>
              <w:pStyle w:val="NormalWeb"/>
              <w:rPr>
                <w:color w:val="FFFFFF" w:themeColor="background1"/>
              </w:rPr>
            </w:pPr>
            <w:r>
              <w:rPr>
                <w:rFonts w:ascii="Gill Sans" w:hAnsi="Gill Sans" w:cs="Gill Sans"/>
                <w:color w:val="FFFFFF"/>
                <w:sz w:val="22"/>
                <w:szCs w:val="22"/>
              </w:rPr>
              <w:t>24. Electronic Mechanism for Local Budget Planning in Kutaisi, Ozurgeti, Batumi, and Akhaltsikhe</w:t>
            </w:r>
          </w:p>
        </w:tc>
        <w:tc>
          <w:tcPr>
            <w:tcW w:w="445" w:type="dxa"/>
            <w:vMerge w:val="restart"/>
            <w:tcBorders>
              <w:top w:val="single" w:sz="18" w:space="0" w:color="FFFFFF"/>
              <w:right w:val="single" w:sz="2" w:space="0" w:color="FFFFFF"/>
            </w:tcBorders>
            <w:shd w:val="clear" w:color="auto" w:fill="D6E3BC"/>
            <w:vAlign w:val="center"/>
          </w:tcPr>
          <w:p w:rsidR="006F39B2" w:rsidRPr="006E7C15" w:rsidRDefault="006F39B2" w:rsidP="00846D2A"/>
        </w:tc>
        <w:tc>
          <w:tcPr>
            <w:tcW w:w="451" w:type="dxa"/>
            <w:vMerge w:val="restart"/>
            <w:tcBorders>
              <w:top w:val="single" w:sz="18" w:space="0" w:color="FFFFFF"/>
              <w:left w:val="single" w:sz="2" w:space="0" w:color="FFFFFF"/>
              <w:right w:val="single" w:sz="2" w:space="0" w:color="FFFFFF"/>
            </w:tcBorders>
            <w:shd w:val="clear" w:color="auto" w:fill="D6E3BC"/>
            <w:vAlign w:val="center"/>
          </w:tcPr>
          <w:p w:rsidR="006F39B2" w:rsidRPr="006E7C15" w:rsidRDefault="006F39B2" w:rsidP="00846D2A"/>
        </w:tc>
        <w:tc>
          <w:tcPr>
            <w:tcW w:w="362" w:type="dxa"/>
            <w:vMerge w:val="restart"/>
            <w:tcBorders>
              <w:top w:val="single" w:sz="18" w:space="0" w:color="FFFFFF"/>
              <w:left w:val="single" w:sz="2" w:space="0" w:color="FFFFFF"/>
              <w:right w:val="single" w:sz="2" w:space="0" w:color="FFFFFF"/>
            </w:tcBorders>
            <w:shd w:val="clear" w:color="auto" w:fill="D6E3BC"/>
            <w:vAlign w:val="center"/>
          </w:tcPr>
          <w:p w:rsidR="006F39B2" w:rsidRPr="006E7C15" w:rsidRDefault="006F39B2" w:rsidP="00846D2A">
            <w:r w:rsidRPr="006E7C15">
              <w:rPr>
                <w:rFonts w:ascii="Apple Color Emoji" w:eastAsia="MS Mincho" w:hAnsi="Apple Color Emoji" w:cs="Apple Color Emoji"/>
                <w:sz w:val="20"/>
              </w:rPr>
              <w:t>✔</w:t>
            </w:r>
          </w:p>
        </w:tc>
        <w:tc>
          <w:tcPr>
            <w:tcW w:w="363" w:type="dxa"/>
            <w:vMerge w:val="restart"/>
            <w:tcBorders>
              <w:top w:val="single" w:sz="18" w:space="0" w:color="FFFFFF"/>
              <w:left w:val="single" w:sz="2" w:space="0" w:color="FFFFFF"/>
              <w:right w:val="single" w:sz="2" w:space="0" w:color="FFFFFF"/>
            </w:tcBorders>
            <w:shd w:val="clear" w:color="auto" w:fill="D6E3BC"/>
            <w:vAlign w:val="center"/>
          </w:tcPr>
          <w:p w:rsidR="006F39B2" w:rsidRPr="006E7C15" w:rsidRDefault="006F39B2" w:rsidP="00846D2A"/>
        </w:tc>
        <w:tc>
          <w:tcPr>
            <w:tcW w:w="398" w:type="dxa"/>
            <w:gridSpan w:val="2"/>
            <w:vMerge w:val="restart"/>
            <w:tcBorders>
              <w:top w:val="single" w:sz="18" w:space="0" w:color="FFFFFF"/>
              <w:left w:val="single" w:sz="2" w:space="0" w:color="FFFFFF"/>
              <w:right w:val="single" w:sz="2" w:space="0" w:color="FFFFFF"/>
            </w:tcBorders>
            <w:shd w:val="clear" w:color="auto" w:fill="FBD4B4"/>
            <w:vAlign w:val="center"/>
          </w:tcPr>
          <w:p w:rsidR="006F39B2" w:rsidRPr="006E7C15" w:rsidRDefault="006F39B2" w:rsidP="00846D2A">
            <w:pPr>
              <w:jc w:val="center"/>
            </w:pPr>
            <w:r w:rsidRPr="006E7C15">
              <w:rPr>
                <w:rFonts w:ascii="Apple Color Emoji" w:eastAsia="MS Mincho" w:hAnsi="Apple Color Emoji" w:cs="Apple Color Emoji"/>
                <w:sz w:val="20"/>
              </w:rPr>
              <w:t>✔</w:t>
            </w:r>
          </w:p>
        </w:tc>
        <w:tc>
          <w:tcPr>
            <w:tcW w:w="398" w:type="dxa"/>
            <w:gridSpan w:val="2"/>
            <w:vMerge w:val="restart"/>
            <w:tcBorders>
              <w:top w:val="single" w:sz="18" w:space="0" w:color="FFFFFF"/>
              <w:left w:val="single" w:sz="2" w:space="0" w:color="FFFFFF"/>
              <w:right w:val="single" w:sz="2" w:space="0" w:color="FFFFFF"/>
            </w:tcBorders>
            <w:shd w:val="clear" w:color="auto" w:fill="FBD4B4"/>
            <w:vAlign w:val="center"/>
          </w:tcPr>
          <w:p w:rsidR="006F39B2" w:rsidRPr="006E7C15" w:rsidRDefault="006F39B2" w:rsidP="00846D2A">
            <w:pPr>
              <w:jc w:val="center"/>
            </w:pPr>
            <w:r w:rsidRPr="006E7C15">
              <w:rPr>
                <w:rFonts w:ascii="Apple Color Emoji" w:eastAsia="MS Mincho" w:hAnsi="Apple Color Emoji" w:cs="Apple Color Emoji"/>
                <w:sz w:val="20"/>
              </w:rPr>
              <w:t>✔</w:t>
            </w:r>
          </w:p>
        </w:tc>
        <w:tc>
          <w:tcPr>
            <w:tcW w:w="399" w:type="dxa"/>
            <w:gridSpan w:val="2"/>
            <w:vMerge w:val="restart"/>
            <w:tcBorders>
              <w:top w:val="single" w:sz="18" w:space="0" w:color="FFFFFF"/>
              <w:left w:val="single" w:sz="2" w:space="0" w:color="FFFFFF"/>
              <w:right w:val="single" w:sz="2" w:space="0" w:color="FFFFFF"/>
            </w:tcBorders>
            <w:shd w:val="clear" w:color="auto" w:fill="FBD4B4"/>
            <w:vAlign w:val="center"/>
          </w:tcPr>
          <w:p w:rsidR="006F39B2" w:rsidRPr="006E7C15" w:rsidRDefault="006F39B2" w:rsidP="00846D2A">
            <w:pPr>
              <w:jc w:val="center"/>
            </w:pPr>
          </w:p>
        </w:tc>
        <w:tc>
          <w:tcPr>
            <w:tcW w:w="398" w:type="dxa"/>
            <w:vMerge w:val="restart"/>
            <w:tcBorders>
              <w:top w:val="single" w:sz="18" w:space="0" w:color="FFFFFF"/>
              <w:left w:val="single" w:sz="2" w:space="0" w:color="FFFFFF"/>
              <w:right w:val="single" w:sz="2" w:space="0" w:color="FFFFFF"/>
            </w:tcBorders>
            <w:shd w:val="clear" w:color="auto" w:fill="FBD4B4"/>
            <w:vAlign w:val="center"/>
          </w:tcPr>
          <w:p w:rsidR="006F39B2" w:rsidRPr="006E7C15" w:rsidRDefault="006F39B2" w:rsidP="00846D2A">
            <w:pPr>
              <w:jc w:val="center"/>
            </w:pPr>
          </w:p>
        </w:tc>
        <w:tc>
          <w:tcPr>
            <w:tcW w:w="399" w:type="dxa"/>
            <w:vMerge w:val="restart"/>
            <w:tcBorders>
              <w:top w:val="single" w:sz="18" w:space="0" w:color="FFFFFF"/>
              <w:left w:val="single" w:sz="2" w:space="0" w:color="FFFFFF"/>
              <w:right w:val="single" w:sz="2" w:space="0" w:color="FFFFFF"/>
            </w:tcBorders>
            <w:shd w:val="clear" w:color="auto" w:fill="FBD4B4"/>
            <w:vAlign w:val="center"/>
          </w:tcPr>
          <w:p w:rsidR="006F39B2" w:rsidRPr="006E7C15" w:rsidRDefault="006F39B2" w:rsidP="00846D2A">
            <w:pPr>
              <w:jc w:val="center"/>
            </w:pPr>
            <w:r w:rsidRPr="006E7C15">
              <w:rPr>
                <w:rFonts w:ascii="Apple Color Emoji" w:eastAsia="MS Mincho" w:hAnsi="Apple Color Emoji" w:cs="Apple Color Emoji"/>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F39B2" w:rsidRPr="006E7C15" w:rsidRDefault="006F39B2" w:rsidP="00846D2A"/>
        </w:tc>
        <w:tc>
          <w:tcPr>
            <w:tcW w:w="360" w:type="dxa"/>
            <w:vMerge w:val="restart"/>
            <w:tcBorders>
              <w:top w:val="single" w:sz="18" w:space="0" w:color="FFFFFF"/>
              <w:left w:val="single" w:sz="2" w:space="0" w:color="FFFFFF"/>
              <w:right w:val="single" w:sz="2" w:space="0" w:color="FFFFFF"/>
            </w:tcBorders>
            <w:shd w:val="clear" w:color="auto" w:fill="CCC0D9"/>
            <w:vAlign w:val="center"/>
          </w:tcPr>
          <w:p w:rsidR="006F39B2" w:rsidRPr="006E7C15" w:rsidRDefault="006F39B2" w:rsidP="00846D2A"/>
        </w:tc>
        <w:tc>
          <w:tcPr>
            <w:tcW w:w="450" w:type="dxa"/>
            <w:vMerge w:val="restart"/>
            <w:tcBorders>
              <w:top w:val="single" w:sz="18" w:space="0" w:color="FFFFFF"/>
              <w:left w:val="single" w:sz="2" w:space="0" w:color="FFFFFF"/>
              <w:right w:val="single" w:sz="2" w:space="0" w:color="FFFFFF"/>
            </w:tcBorders>
            <w:shd w:val="clear" w:color="auto" w:fill="CCC0D9"/>
            <w:vAlign w:val="center"/>
          </w:tcPr>
          <w:p w:rsidR="006F39B2" w:rsidRPr="006E7C15" w:rsidRDefault="006F39B2" w:rsidP="00846D2A">
            <w:r w:rsidRPr="006E7C15">
              <w:rPr>
                <w:rFonts w:ascii="Apple Color Emoji" w:eastAsia="MS Mincho" w:hAnsi="Apple Color Emoji" w:cs="Apple Color Emoji"/>
                <w:sz w:val="20"/>
              </w:rPr>
              <w:t>✔</w:t>
            </w:r>
          </w:p>
        </w:tc>
        <w:tc>
          <w:tcPr>
            <w:tcW w:w="360" w:type="dxa"/>
            <w:vMerge w:val="restart"/>
            <w:tcBorders>
              <w:top w:val="single" w:sz="18" w:space="0" w:color="FFFFFF"/>
              <w:left w:val="single" w:sz="2" w:space="0" w:color="FFFFFF"/>
              <w:right w:val="single" w:sz="4" w:space="0" w:color="FFFFFF" w:themeColor="background1"/>
            </w:tcBorders>
            <w:shd w:val="clear" w:color="auto" w:fill="CCC0D9"/>
            <w:vAlign w:val="center"/>
          </w:tcPr>
          <w:p w:rsidR="006F39B2" w:rsidRPr="006E7C15" w:rsidRDefault="006F39B2" w:rsidP="00846D2A"/>
        </w:tc>
        <w:tc>
          <w:tcPr>
            <w:tcW w:w="520" w:type="dxa"/>
            <w:tcBorders>
              <w:top w:val="single" w:sz="18" w:space="0" w:color="FFFFFF"/>
              <w:left w:val="single" w:sz="4" w:space="0" w:color="FFFFFF" w:themeColor="background1"/>
              <w:bottom w:val="single" w:sz="4" w:space="0" w:color="auto"/>
              <w:right w:val="single" w:sz="4" w:space="0" w:color="FFFFFF" w:themeColor="background1"/>
            </w:tcBorders>
            <w:shd w:val="clear" w:color="auto" w:fill="B8CCE4"/>
            <w:vAlign w:val="center"/>
          </w:tcPr>
          <w:p w:rsidR="006F39B2" w:rsidRPr="006E7C15" w:rsidRDefault="006F39B2" w:rsidP="00846D2A"/>
        </w:tc>
        <w:tc>
          <w:tcPr>
            <w:tcW w:w="520" w:type="dxa"/>
            <w:gridSpan w:val="3"/>
            <w:tcBorders>
              <w:top w:val="single" w:sz="18" w:space="0" w:color="FFFFFF"/>
              <w:left w:val="single" w:sz="4" w:space="0" w:color="FFFFFF" w:themeColor="background1"/>
              <w:bottom w:val="single" w:sz="4" w:space="0" w:color="auto"/>
              <w:right w:val="single" w:sz="4" w:space="0" w:color="FFFFFF" w:themeColor="background1"/>
            </w:tcBorders>
            <w:shd w:val="clear" w:color="auto" w:fill="B8CCE4"/>
            <w:vAlign w:val="center"/>
          </w:tcPr>
          <w:p w:rsidR="006F39B2" w:rsidRPr="006E7C15" w:rsidRDefault="006F39B2" w:rsidP="00846D2A">
            <w:r w:rsidRPr="006E7C15">
              <w:rPr>
                <w:rFonts w:ascii="Apple Color Emoji" w:eastAsia="MS Mincho" w:hAnsi="Apple Color Emoji" w:cs="Apple Color Emoji"/>
                <w:sz w:val="20"/>
              </w:rPr>
              <w:t>✔</w:t>
            </w:r>
          </w:p>
        </w:tc>
        <w:tc>
          <w:tcPr>
            <w:tcW w:w="520" w:type="dxa"/>
            <w:tcBorders>
              <w:top w:val="single" w:sz="18" w:space="0" w:color="FFFFFF"/>
              <w:left w:val="single" w:sz="4" w:space="0" w:color="FFFFFF" w:themeColor="background1"/>
              <w:bottom w:val="single" w:sz="4" w:space="0" w:color="auto"/>
              <w:right w:val="single" w:sz="4" w:space="0" w:color="FFFFFF" w:themeColor="background1"/>
            </w:tcBorders>
            <w:shd w:val="clear" w:color="auto" w:fill="B8CCE4"/>
            <w:vAlign w:val="center"/>
          </w:tcPr>
          <w:p w:rsidR="006F39B2" w:rsidRPr="006E7C15" w:rsidRDefault="006F39B2" w:rsidP="00846D2A"/>
        </w:tc>
        <w:tc>
          <w:tcPr>
            <w:tcW w:w="521" w:type="dxa"/>
            <w:gridSpan w:val="2"/>
            <w:tcBorders>
              <w:top w:val="single" w:sz="18" w:space="0" w:color="FFFFFF"/>
              <w:left w:val="single" w:sz="4" w:space="0" w:color="FFFFFF" w:themeColor="background1"/>
              <w:bottom w:val="single" w:sz="4" w:space="0" w:color="auto"/>
              <w:right w:val="single" w:sz="4" w:space="0" w:color="auto"/>
            </w:tcBorders>
            <w:shd w:val="clear" w:color="auto" w:fill="B8CCE4"/>
            <w:vAlign w:val="center"/>
          </w:tcPr>
          <w:p w:rsidR="006F39B2" w:rsidRPr="006E7C15" w:rsidRDefault="006F39B2" w:rsidP="00846D2A"/>
        </w:tc>
        <w:tc>
          <w:tcPr>
            <w:tcW w:w="445" w:type="dxa"/>
            <w:vMerge w:val="restart"/>
            <w:tcBorders>
              <w:top w:val="single" w:sz="18" w:space="0" w:color="FFFFFF"/>
              <w:left w:val="single" w:sz="4" w:space="0" w:color="auto"/>
              <w:right w:val="single" w:sz="2" w:space="0" w:color="FFFFFF"/>
            </w:tcBorders>
            <w:shd w:val="clear" w:color="auto" w:fill="D99594"/>
            <w:vAlign w:val="center"/>
          </w:tcPr>
          <w:p w:rsidR="006F39B2" w:rsidRPr="006E7C15" w:rsidRDefault="006F39B2" w:rsidP="00846D2A"/>
        </w:tc>
        <w:tc>
          <w:tcPr>
            <w:tcW w:w="455" w:type="dxa"/>
            <w:vMerge w:val="restart"/>
            <w:tcBorders>
              <w:top w:val="single" w:sz="18" w:space="0" w:color="FFFFFF"/>
              <w:left w:val="single" w:sz="2" w:space="0" w:color="FFFFFF"/>
              <w:right w:val="single" w:sz="2" w:space="0" w:color="FFFFFF"/>
            </w:tcBorders>
            <w:shd w:val="clear" w:color="auto" w:fill="D99594"/>
            <w:vAlign w:val="center"/>
          </w:tcPr>
          <w:p w:rsidR="006F39B2" w:rsidRPr="006E7C15" w:rsidRDefault="006F39B2" w:rsidP="00846D2A"/>
        </w:tc>
        <w:tc>
          <w:tcPr>
            <w:tcW w:w="363" w:type="dxa"/>
            <w:vMerge w:val="restart"/>
            <w:tcBorders>
              <w:top w:val="single" w:sz="18" w:space="0" w:color="FFFFFF"/>
              <w:left w:val="single" w:sz="2" w:space="0" w:color="FFFFFF"/>
              <w:right w:val="single" w:sz="2" w:space="0" w:color="FFFFFF"/>
            </w:tcBorders>
            <w:shd w:val="clear" w:color="auto" w:fill="D99594"/>
            <w:vAlign w:val="center"/>
          </w:tcPr>
          <w:p w:rsidR="006F39B2" w:rsidRPr="006E7C15" w:rsidRDefault="006F39B2" w:rsidP="00846D2A"/>
        </w:tc>
        <w:tc>
          <w:tcPr>
            <w:tcW w:w="425" w:type="dxa"/>
            <w:vMerge w:val="restart"/>
            <w:tcBorders>
              <w:top w:val="single" w:sz="18" w:space="0" w:color="FFFFFF"/>
              <w:left w:val="single" w:sz="2" w:space="0" w:color="FFFFFF"/>
              <w:right w:val="single" w:sz="2" w:space="0" w:color="FFFFFF"/>
            </w:tcBorders>
            <w:shd w:val="clear" w:color="auto" w:fill="D99594"/>
            <w:vAlign w:val="center"/>
          </w:tcPr>
          <w:p w:rsidR="006F39B2" w:rsidRPr="006E7C15" w:rsidRDefault="006F39B2" w:rsidP="00846D2A">
            <w:r w:rsidRPr="006E7C15">
              <w:rPr>
                <w:rFonts w:ascii="Apple Color Emoji" w:eastAsia="MS Mincho" w:hAnsi="Apple Color Emoji" w:cs="Apple Color Emoji"/>
                <w:sz w:val="20"/>
              </w:rPr>
              <w:t>✔</w:t>
            </w:r>
          </w:p>
        </w:tc>
        <w:tc>
          <w:tcPr>
            <w:tcW w:w="373" w:type="dxa"/>
            <w:vMerge w:val="restart"/>
            <w:tcBorders>
              <w:top w:val="single" w:sz="18" w:space="0" w:color="FFFFFF"/>
              <w:left w:val="single" w:sz="2" w:space="0" w:color="FFFFFF"/>
              <w:right w:val="single" w:sz="18" w:space="0" w:color="FFFFFF"/>
            </w:tcBorders>
            <w:shd w:val="clear" w:color="auto" w:fill="D99594"/>
          </w:tcPr>
          <w:p w:rsidR="006F39B2" w:rsidRPr="006E7C15" w:rsidRDefault="006F39B2" w:rsidP="00846D2A"/>
        </w:tc>
      </w:tr>
      <w:tr w:rsidR="006F39B2" w:rsidRPr="006E7C15" w:rsidTr="00846D2A">
        <w:trPr>
          <w:trHeight w:val="1457"/>
        </w:trPr>
        <w:tc>
          <w:tcPr>
            <w:tcW w:w="1596" w:type="dxa"/>
            <w:vMerge/>
            <w:tcBorders>
              <w:left w:val="single" w:sz="4" w:space="0" w:color="FFFFFF"/>
            </w:tcBorders>
            <w:shd w:val="clear" w:color="auto" w:fill="000000"/>
            <w:vAlign w:val="center"/>
          </w:tcPr>
          <w:p w:rsidR="006F39B2" w:rsidRDefault="006F39B2" w:rsidP="00846D2A">
            <w:pPr>
              <w:pStyle w:val="NormalWeb"/>
              <w:rPr>
                <w:rFonts w:ascii="Gill Sans" w:hAnsi="Gill Sans" w:cs="Gill Sans"/>
                <w:color w:val="FFFFFF"/>
                <w:sz w:val="22"/>
                <w:szCs w:val="22"/>
              </w:rPr>
            </w:pPr>
          </w:p>
        </w:tc>
        <w:tc>
          <w:tcPr>
            <w:tcW w:w="445" w:type="dxa"/>
            <w:vMerge/>
            <w:tcBorders>
              <w:right w:val="single" w:sz="2" w:space="0" w:color="FFFFFF"/>
            </w:tcBorders>
            <w:shd w:val="clear" w:color="auto" w:fill="D6E3BC"/>
            <w:vAlign w:val="center"/>
          </w:tcPr>
          <w:p w:rsidR="006F39B2" w:rsidRPr="006E7C15" w:rsidRDefault="006F39B2" w:rsidP="00846D2A"/>
        </w:tc>
        <w:tc>
          <w:tcPr>
            <w:tcW w:w="451" w:type="dxa"/>
            <w:vMerge/>
            <w:tcBorders>
              <w:left w:val="single" w:sz="2" w:space="0" w:color="FFFFFF"/>
              <w:right w:val="single" w:sz="2" w:space="0" w:color="FFFFFF"/>
            </w:tcBorders>
            <w:shd w:val="clear" w:color="auto" w:fill="D6E3BC"/>
            <w:vAlign w:val="center"/>
          </w:tcPr>
          <w:p w:rsidR="006F39B2" w:rsidRPr="006E7C15" w:rsidRDefault="006F39B2" w:rsidP="00846D2A"/>
        </w:tc>
        <w:tc>
          <w:tcPr>
            <w:tcW w:w="362" w:type="dxa"/>
            <w:vMerge/>
            <w:tcBorders>
              <w:left w:val="single" w:sz="2" w:space="0" w:color="FFFFFF"/>
              <w:right w:val="single" w:sz="2" w:space="0" w:color="FFFFFF"/>
            </w:tcBorders>
            <w:shd w:val="clear" w:color="auto" w:fill="D6E3BC"/>
            <w:vAlign w:val="center"/>
          </w:tcPr>
          <w:p w:rsidR="006F39B2" w:rsidRPr="006E7C15" w:rsidRDefault="006F39B2" w:rsidP="00846D2A">
            <w:pPr>
              <w:rPr>
                <w:rFonts w:ascii="MS Mincho" w:eastAsia="MS Mincho" w:hAnsi="MS Mincho" w:cs="MS Mincho"/>
                <w:sz w:val="20"/>
              </w:rPr>
            </w:pPr>
          </w:p>
        </w:tc>
        <w:tc>
          <w:tcPr>
            <w:tcW w:w="363" w:type="dxa"/>
            <w:vMerge/>
            <w:tcBorders>
              <w:left w:val="single" w:sz="2" w:space="0" w:color="FFFFFF"/>
              <w:right w:val="single" w:sz="2" w:space="0" w:color="FFFFFF"/>
            </w:tcBorders>
            <w:shd w:val="clear" w:color="auto" w:fill="D6E3BC"/>
            <w:vAlign w:val="center"/>
          </w:tcPr>
          <w:p w:rsidR="006F39B2" w:rsidRPr="006E7C15" w:rsidRDefault="006F39B2" w:rsidP="00846D2A"/>
        </w:tc>
        <w:tc>
          <w:tcPr>
            <w:tcW w:w="398" w:type="dxa"/>
            <w:gridSpan w:val="2"/>
            <w:vMerge/>
            <w:tcBorders>
              <w:left w:val="single" w:sz="2" w:space="0" w:color="FFFFFF"/>
              <w:bottom w:val="single" w:sz="2" w:space="0" w:color="auto"/>
              <w:right w:val="single" w:sz="2" w:space="0" w:color="FFFFFF"/>
            </w:tcBorders>
            <w:shd w:val="clear" w:color="auto" w:fill="FBD4B4"/>
            <w:vAlign w:val="center"/>
          </w:tcPr>
          <w:p w:rsidR="006F39B2" w:rsidRPr="006E7C15" w:rsidRDefault="006F39B2" w:rsidP="00846D2A">
            <w:pPr>
              <w:jc w:val="center"/>
              <w:rPr>
                <w:rFonts w:ascii="MS Mincho" w:eastAsia="MS Mincho" w:hAnsi="MS Mincho" w:cs="MS Mincho"/>
                <w:sz w:val="20"/>
              </w:rPr>
            </w:pPr>
          </w:p>
        </w:tc>
        <w:tc>
          <w:tcPr>
            <w:tcW w:w="398" w:type="dxa"/>
            <w:gridSpan w:val="2"/>
            <w:vMerge/>
            <w:tcBorders>
              <w:left w:val="single" w:sz="2" w:space="0" w:color="FFFFFF"/>
              <w:bottom w:val="single" w:sz="2" w:space="0" w:color="auto"/>
              <w:right w:val="single" w:sz="2" w:space="0" w:color="FFFFFF"/>
            </w:tcBorders>
            <w:shd w:val="clear" w:color="auto" w:fill="FBD4B4"/>
            <w:vAlign w:val="center"/>
          </w:tcPr>
          <w:p w:rsidR="006F39B2" w:rsidRPr="006E7C15" w:rsidRDefault="006F39B2" w:rsidP="00846D2A">
            <w:pPr>
              <w:jc w:val="center"/>
              <w:rPr>
                <w:rFonts w:ascii="MS Mincho" w:eastAsia="MS Mincho" w:hAnsi="MS Mincho" w:cs="MS Mincho"/>
                <w:sz w:val="20"/>
              </w:rPr>
            </w:pPr>
          </w:p>
        </w:tc>
        <w:tc>
          <w:tcPr>
            <w:tcW w:w="399" w:type="dxa"/>
            <w:gridSpan w:val="2"/>
            <w:vMerge/>
            <w:tcBorders>
              <w:left w:val="single" w:sz="2" w:space="0" w:color="FFFFFF"/>
              <w:bottom w:val="single" w:sz="2" w:space="0" w:color="auto"/>
              <w:right w:val="single" w:sz="2" w:space="0" w:color="FFFFFF"/>
            </w:tcBorders>
            <w:shd w:val="clear" w:color="auto" w:fill="FBD4B4"/>
            <w:vAlign w:val="center"/>
          </w:tcPr>
          <w:p w:rsidR="006F39B2" w:rsidRPr="006E7C15" w:rsidRDefault="006F39B2" w:rsidP="00846D2A">
            <w:pPr>
              <w:jc w:val="center"/>
            </w:pPr>
          </w:p>
        </w:tc>
        <w:tc>
          <w:tcPr>
            <w:tcW w:w="398" w:type="dxa"/>
            <w:vMerge/>
            <w:tcBorders>
              <w:left w:val="single" w:sz="2" w:space="0" w:color="FFFFFF"/>
              <w:bottom w:val="single" w:sz="2" w:space="0" w:color="auto"/>
              <w:right w:val="single" w:sz="2" w:space="0" w:color="FFFFFF"/>
            </w:tcBorders>
            <w:shd w:val="clear" w:color="auto" w:fill="FBD4B4"/>
            <w:vAlign w:val="center"/>
          </w:tcPr>
          <w:p w:rsidR="006F39B2" w:rsidRPr="006E7C15" w:rsidRDefault="006F39B2" w:rsidP="00846D2A">
            <w:pPr>
              <w:jc w:val="center"/>
            </w:pPr>
          </w:p>
        </w:tc>
        <w:tc>
          <w:tcPr>
            <w:tcW w:w="399" w:type="dxa"/>
            <w:vMerge/>
            <w:tcBorders>
              <w:left w:val="single" w:sz="2" w:space="0" w:color="FFFFFF"/>
              <w:bottom w:val="single" w:sz="2" w:space="0" w:color="auto"/>
              <w:right w:val="single" w:sz="2" w:space="0" w:color="FFFFFF"/>
            </w:tcBorders>
            <w:shd w:val="clear" w:color="auto" w:fill="FBD4B4"/>
            <w:vAlign w:val="center"/>
          </w:tcPr>
          <w:p w:rsidR="006F39B2" w:rsidRPr="006E7C15" w:rsidRDefault="006F39B2" w:rsidP="00846D2A">
            <w:pPr>
              <w:jc w:val="cente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rsidR="006F39B2" w:rsidRPr="006E7C15" w:rsidRDefault="006F39B2" w:rsidP="00846D2A"/>
        </w:tc>
        <w:tc>
          <w:tcPr>
            <w:tcW w:w="360" w:type="dxa"/>
            <w:vMerge/>
            <w:tcBorders>
              <w:left w:val="single" w:sz="2" w:space="0" w:color="FFFFFF"/>
              <w:right w:val="single" w:sz="2" w:space="0" w:color="FFFFFF"/>
            </w:tcBorders>
            <w:shd w:val="clear" w:color="auto" w:fill="CCC0D9"/>
            <w:vAlign w:val="center"/>
          </w:tcPr>
          <w:p w:rsidR="006F39B2" w:rsidRPr="006E7C15" w:rsidRDefault="006F39B2" w:rsidP="00846D2A"/>
        </w:tc>
        <w:tc>
          <w:tcPr>
            <w:tcW w:w="450" w:type="dxa"/>
            <w:vMerge/>
            <w:tcBorders>
              <w:left w:val="single" w:sz="2" w:space="0" w:color="FFFFFF"/>
              <w:right w:val="single" w:sz="2" w:space="0" w:color="FFFFFF"/>
            </w:tcBorders>
            <w:shd w:val="clear" w:color="auto" w:fill="CCC0D9"/>
            <w:vAlign w:val="center"/>
          </w:tcPr>
          <w:p w:rsidR="006F39B2" w:rsidRPr="006E7C15" w:rsidRDefault="006F39B2" w:rsidP="00846D2A">
            <w:pPr>
              <w:rPr>
                <w:rFonts w:ascii="MS Mincho" w:eastAsia="MS Mincho" w:hAnsi="MS Mincho" w:cs="MS Mincho"/>
                <w:sz w:val="20"/>
              </w:rPr>
            </w:pPr>
          </w:p>
        </w:tc>
        <w:tc>
          <w:tcPr>
            <w:tcW w:w="360" w:type="dxa"/>
            <w:vMerge/>
            <w:tcBorders>
              <w:left w:val="single" w:sz="2" w:space="0" w:color="FFFFFF"/>
              <w:right w:val="single" w:sz="4" w:space="0" w:color="FFFFFF" w:themeColor="background1"/>
            </w:tcBorders>
            <w:shd w:val="clear" w:color="auto" w:fill="CCC0D9"/>
            <w:vAlign w:val="center"/>
          </w:tcPr>
          <w:p w:rsidR="006F39B2" w:rsidRPr="006E7C15" w:rsidRDefault="006F39B2" w:rsidP="00846D2A"/>
        </w:tc>
        <w:tc>
          <w:tcPr>
            <w:tcW w:w="5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B8CCE4"/>
            <w:vAlign w:val="center"/>
          </w:tcPr>
          <w:p w:rsidR="006F39B2" w:rsidRPr="006E7C15" w:rsidRDefault="006F39B2" w:rsidP="00846D2A"/>
        </w:tc>
        <w:tc>
          <w:tcPr>
            <w:tcW w:w="520"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B8CCE4"/>
            <w:vAlign w:val="center"/>
          </w:tcPr>
          <w:p w:rsidR="006F39B2" w:rsidRPr="006E7C15" w:rsidRDefault="006F39B2" w:rsidP="00846D2A"/>
        </w:tc>
        <w:tc>
          <w:tcPr>
            <w:tcW w:w="5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B8CCE4"/>
            <w:vAlign w:val="center"/>
          </w:tcPr>
          <w:p w:rsidR="006F39B2" w:rsidRPr="006E7C15" w:rsidRDefault="006F39B2" w:rsidP="00846D2A">
            <w:r w:rsidRPr="006E7C15">
              <w:rPr>
                <w:rFonts w:ascii="Apple Color Emoji" w:eastAsia="MS Mincho" w:hAnsi="Apple Color Emoji" w:cs="Apple Color Emoji"/>
                <w:sz w:val="20"/>
              </w:rPr>
              <w:t>✔</w:t>
            </w:r>
          </w:p>
        </w:tc>
        <w:tc>
          <w:tcPr>
            <w:tcW w:w="521" w:type="dxa"/>
            <w:gridSpan w:val="2"/>
            <w:tcBorders>
              <w:top w:val="single" w:sz="4" w:space="0" w:color="auto"/>
              <w:left w:val="single" w:sz="4" w:space="0" w:color="FFFFFF" w:themeColor="background1"/>
              <w:bottom w:val="single" w:sz="4" w:space="0" w:color="auto"/>
              <w:right w:val="single" w:sz="4" w:space="0" w:color="auto"/>
            </w:tcBorders>
            <w:shd w:val="clear" w:color="auto" w:fill="B8CCE4"/>
            <w:vAlign w:val="center"/>
          </w:tcPr>
          <w:p w:rsidR="006F39B2" w:rsidRPr="006E7C15" w:rsidRDefault="006F39B2" w:rsidP="00846D2A"/>
        </w:tc>
        <w:tc>
          <w:tcPr>
            <w:tcW w:w="445" w:type="dxa"/>
            <w:vMerge/>
            <w:tcBorders>
              <w:left w:val="single" w:sz="4" w:space="0" w:color="auto"/>
              <w:right w:val="single" w:sz="2" w:space="0" w:color="FFFFFF"/>
            </w:tcBorders>
            <w:shd w:val="clear" w:color="auto" w:fill="D99594"/>
            <w:vAlign w:val="center"/>
          </w:tcPr>
          <w:p w:rsidR="006F39B2" w:rsidRPr="006E7C15" w:rsidRDefault="006F39B2" w:rsidP="00846D2A"/>
        </w:tc>
        <w:tc>
          <w:tcPr>
            <w:tcW w:w="455" w:type="dxa"/>
            <w:vMerge/>
            <w:tcBorders>
              <w:left w:val="single" w:sz="2" w:space="0" w:color="FFFFFF"/>
              <w:right w:val="single" w:sz="2" w:space="0" w:color="FFFFFF"/>
            </w:tcBorders>
            <w:shd w:val="clear" w:color="auto" w:fill="D99594"/>
            <w:vAlign w:val="center"/>
          </w:tcPr>
          <w:p w:rsidR="006F39B2" w:rsidRPr="006E7C15" w:rsidRDefault="006F39B2" w:rsidP="00846D2A"/>
        </w:tc>
        <w:tc>
          <w:tcPr>
            <w:tcW w:w="363" w:type="dxa"/>
            <w:vMerge/>
            <w:tcBorders>
              <w:left w:val="single" w:sz="2" w:space="0" w:color="FFFFFF"/>
              <w:right w:val="single" w:sz="2" w:space="0" w:color="FFFFFF"/>
            </w:tcBorders>
            <w:shd w:val="clear" w:color="auto" w:fill="D99594"/>
            <w:vAlign w:val="center"/>
          </w:tcPr>
          <w:p w:rsidR="006F39B2" w:rsidRPr="006E7C15" w:rsidRDefault="006F39B2" w:rsidP="00846D2A"/>
        </w:tc>
        <w:tc>
          <w:tcPr>
            <w:tcW w:w="425" w:type="dxa"/>
            <w:vMerge/>
            <w:tcBorders>
              <w:left w:val="single" w:sz="2" w:space="0" w:color="FFFFFF"/>
              <w:right w:val="single" w:sz="2" w:space="0" w:color="FFFFFF"/>
            </w:tcBorders>
            <w:shd w:val="clear" w:color="auto" w:fill="D99594"/>
            <w:vAlign w:val="center"/>
          </w:tcPr>
          <w:p w:rsidR="006F39B2" w:rsidRPr="006E7C15" w:rsidRDefault="006F39B2" w:rsidP="00846D2A"/>
        </w:tc>
        <w:tc>
          <w:tcPr>
            <w:tcW w:w="373" w:type="dxa"/>
            <w:vMerge/>
            <w:tcBorders>
              <w:left w:val="single" w:sz="2" w:space="0" w:color="FFFFFF"/>
              <w:right w:val="single" w:sz="18" w:space="0" w:color="FFFFFF"/>
            </w:tcBorders>
            <w:shd w:val="clear" w:color="auto" w:fill="D99594"/>
          </w:tcPr>
          <w:p w:rsidR="006F39B2" w:rsidRPr="006E7C15" w:rsidRDefault="006F39B2" w:rsidP="00846D2A"/>
        </w:tc>
      </w:tr>
    </w:tbl>
    <w:p w:rsidR="003F30AE" w:rsidRDefault="003F30AE" w:rsidP="00FE5928">
      <w:pPr>
        <w:pStyle w:val="Heading3"/>
      </w:pPr>
      <w:bookmarkStart w:id="129" w:name="_Toc529199405"/>
      <w:bookmarkStart w:id="130" w:name="_Toc529997060"/>
    </w:p>
    <w:p w:rsidR="003F30AE" w:rsidRDefault="003F30AE" w:rsidP="00FE5928">
      <w:pPr>
        <w:pStyle w:val="Heading3"/>
      </w:pPr>
      <w:bookmarkStart w:id="131" w:name="_Toc530910753"/>
      <w:r w:rsidRPr="00A428B2">
        <w:t>Commitment Aim:</w:t>
      </w:r>
      <w:bookmarkEnd w:id="129"/>
      <w:bookmarkEnd w:id="130"/>
      <w:bookmarkEnd w:id="131"/>
    </w:p>
    <w:p w:rsidR="003F30AE" w:rsidRDefault="003F30AE" w:rsidP="003F30AE">
      <w:r>
        <w:t xml:space="preserve">In order to increase public access to information, as well as to bolster civic engagement in budgetary planning processes, four municipalities of Georgia committed to introduce the electronic mechanisms for budget planning. Specifically, Akhaltsikhe Municipality Town Hall, Batumi Municipality Town Hall, Kutaisi Municipality Town Hall and Ozurgeti Municipality Assembly took the responsibility to implement three key activities proposed within the commitment, including: 1. Preparation of the local program budget, 2. Creation of the electronic mechanism “Plan City Budget” to define local budget priorities, and 3. </w:t>
      </w:r>
      <w:r w:rsidRPr="0055374B">
        <w:t>Develop</w:t>
      </w:r>
      <w:r>
        <w:t>ment of</w:t>
      </w:r>
      <w:r w:rsidRPr="0055374B">
        <w:t xml:space="preserve"> citizen’s guidebook </w:t>
      </w:r>
      <w:r>
        <w:t>on</w:t>
      </w:r>
      <w:r w:rsidRPr="0055374B">
        <w:t xml:space="preserve"> local budget of the municipality</w:t>
      </w:r>
      <w:r>
        <w:t>.</w:t>
      </w:r>
    </w:p>
    <w:p w:rsidR="003F30AE" w:rsidRDefault="003F30AE" w:rsidP="003F30AE">
      <w:pPr>
        <w:rPr>
          <w:noProof/>
          <w:szCs w:val="22"/>
        </w:rPr>
      </w:pPr>
    </w:p>
    <w:p w:rsidR="003F30AE" w:rsidRPr="000E55F3" w:rsidRDefault="003F30AE" w:rsidP="00FE5928">
      <w:pPr>
        <w:pStyle w:val="Heading3"/>
      </w:pPr>
      <w:bookmarkStart w:id="132" w:name="_Toc529199406"/>
      <w:bookmarkStart w:id="133" w:name="_Toc529997061"/>
      <w:bookmarkStart w:id="134" w:name="_Toc530910754"/>
      <w:r w:rsidRPr="000E55F3">
        <w:t>Status</w:t>
      </w:r>
      <w:bookmarkEnd w:id="132"/>
      <w:bookmarkEnd w:id="133"/>
      <w:bookmarkEnd w:id="134"/>
    </w:p>
    <w:p w:rsidR="003F30AE" w:rsidRDefault="003F30AE" w:rsidP="003F30AE">
      <w:pPr>
        <w:pStyle w:val="Normalrglronly"/>
        <w:rPr>
          <w:b/>
          <w:color w:val="000000" w:themeColor="text1"/>
        </w:rPr>
      </w:pPr>
      <w:r w:rsidRPr="000E55F3">
        <w:rPr>
          <w:b/>
        </w:rPr>
        <w:t>Midterm: Limited</w:t>
      </w:r>
    </w:p>
    <w:p w:rsidR="003F30AE" w:rsidRPr="00024E36" w:rsidRDefault="003F30AE" w:rsidP="003F30AE">
      <w:pPr>
        <w:pStyle w:val="Normalrglronly"/>
        <w:rPr>
          <w:color w:val="000000" w:themeColor="text1"/>
        </w:rPr>
      </w:pPr>
      <w:r>
        <w:rPr>
          <w:color w:val="000000" w:themeColor="text1"/>
        </w:rPr>
        <w:t>T</w:t>
      </w:r>
      <w:r w:rsidRPr="00020B5A">
        <w:rPr>
          <w:color w:val="000000" w:themeColor="text1"/>
        </w:rPr>
        <w:t xml:space="preserve">he commitment was </w:t>
      </w:r>
      <w:r>
        <w:rPr>
          <w:color w:val="000000" w:themeColor="text1"/>
        </w:rPr>
        <w:t>completed to</w:t>
      </w:r>
      <w:r w:rsidRPr="00020B5A">
        <w:rPr>
          <w:color w:val="000000" w:themeColor="text1"/>
        </w:rPr>
        <w:t xml:space="preserve"> a limited </w:t>
      </w:r>
      <w:r>
        <w:rPr>
          <w:color w:val="000000" w:themeColor="text1"/>
        </w:rPr>
        <w:t xml:space="preserve">degree as of August 2017. Three out of four municipalities, excluding Ozurgeti, had prepared and published their respective municipality budgets on their websites in a program budget format, which </w:t>
      </w:r>
      <w:r w:rsidR="00996E98">
        <w:rPr>
          <w:color w:val="000000" w:themeColor="text1"/>
        </w:rPr>
        <w:t xml:space="preserve">showed </w:t>
      </w:r>
      <w:r>
        <w:rPr>
          <w:color w:val="000000" w:themeColor="text1"/>
        </w:rPr>
        <w:t xml:space="preserve">a breakdown of expenses by programs. </w:t>
      </w:r>
      <w:r w:rsidRPr="00A200B0">
        <w:rPr>
          <w:color w:val="000000" w:themeColor="text1"/>
        </w:rPr>
        <w:t xml:space="preserve">Ozurgeti Municipality </w:t>
      </w:r>
      <w:r w:rsidR="00996E98">
        <w:rPr>
          <w:color w:val="000000" w:themeColor="text1"/>
        </w:rPr>
        <w:t>had not published the program budget</w:t>
      </w:r>
      <w:r>
        <w:rPr>
          <w:color w:val="000000" w:themeColor="text1"/>
        </w:rPr>
        <w:t>, due to the fact that it was not part of the USAID’s Good Governance Initiative (GGI) and as a result, lacked resources and expertise to develop</w:t>
      </w:r>
      <w:r w:rsidR="00996E98">
        <w:rPr>
          <w:color w:val="000000" w:themeColor="text1"/>
        </w:rPr>
        <w:t xml:space="preserve"> it</w:t>
      </w:r>
      <w:r>
        <w:rPr>
          <w:rStyle w:val="EndnoteReference"/>
          <w:color w:val="000000" w:themeColor="text1"/>
        </w:rPr>
        <w:endnoteReference w:id="145"/>
      </w:r>
      <w:r>
        <w:rPr>
          <w:color w:val="000000" w:themeColor="text1"/>
        </w:rPr>
        <w:t>. As for citizens’ guidebook, it was developed by Batumi, Kutaisi and Akhaltsikhe Municipalities, however only Batumi published it online, with the remaining two disseminating the print versions. By August 2017, all four municipalities had still to introduce the “Plan City Budget” mechanism on their websites.</w:t>
      </w:r>
    </w:p>
    <w:p w:rsidR="003F30AE" w:rsidRPr="004B1C12" w:rsidRDefault="003F30AE" w:rsidP="003F30AE">
      <w:pPr>
        <w:rPr>
          <w:i/>
          <w:color w:val="4F81BD" w:themeColor="accent1"/>
        </w:rPr>
      </w:pPr>
    </w:p>
    <w:p w:rsidR="003F30AE" w:rsidRDefault="003F30AE" w:rsidP="003F30AE">
      <w:pPr>
        <w:pStyle w:val="Normalrglronly"/>
        <w:rPr>
          <w:b/>
        </w:rPr>
      </w:pPr>
      <w:r w:rsidRPr="008F3FE4">
        <w:rPr>
          <w:b/>
        </w:rPr>
        <w:t>End of term:</w:t>
      </w:r>
      <w:r>
        <w:rPr>
          <w:b/>
        </w:rPr>
        <w:t xml:space="preserve"> Substantial</w:t>
      </w:r>
    </w:p>
    <w:p w:rsidR="003F30AE" w:rsidRDefault="003F30AE" w:rsidP="003F30AE">
      <w:pPr>
        <w:pStyle w:val="Normalrglronly"/>
        <w:rPr>
          <w:b/>
        </w:rPr>
      </w:pPr>
      <w:r>
        <w:rPr>
          <w:color w:val="000000" w:themeColor="text1"/>
        </w:rPr>
        <w:t>USAID’s Good Governance Initiative (GGI) played an important role in the commitment progress, as it supports three municipalities, which are engaged in the initiative, including, Akhaltsikhe, Batumi and Kutaisi. Ozurgeti Municipality does not</w:t>
      </w:r>
      <w:r w:rsidR="00C73F01">
        <w:rPr>
          <w:color w:val="000000" w:themeColor="text1"/>
        </w:rPr>
        <w:t xml:space="preserve"> get funding, </w:t>
      </w:r>
      <w:r>
        <w:rPr>
          <w:color w:val="000000" w:themeColor="text1"/>
        </w:rPr>
        <w:t>therefore, there was a lack of coordination on a unified approach to implement the commitment activities.</w:t>
      </w:r>
    </w:p>
    <w:p w:rsidR="003F30AE" w:rsidRPr="00A3385C" w:rsidRDefault="003F30AE" w:rsidP="003F30AE">
      <w:pPr>
        <w:pStyle w:val="Normalrglronly"/>
      </w:pPr>
      <w:r w:rsidRPr="008B44E5">
        <w:rPr>
          <w:b/>
        </w:rPr>
        <w:t>Preparation of the local program budget</w:t>
      </w:r>
      <w:r>
        <w:t>: the four municipalities published their respective budgets in a program budget format online by the end of term</w:t>
      </w:r>
      <w:r>
        <w:rPr>
          <w:rStyle w:val="EndnoteReference"/>
        </w:rPr>
        <w:endnoteReference w:id="146"/>
      </w:r>
      <w:r>
        <w:rPr>
          <w:rStyle w:val="EndnoteReference"/>
        </w:rPr>
        <w:endnoteReference w:id="147"/>
      </w:r>
      <w:r>
        <w:rPr>
          <w:rStyle w:val="EndnoteReference"/>
        </w:rPr>
        <w:endnoteReference w:id="148"/>
      </w:r>
      <w:r>
        <w:rPr>
          <w:rStyle w:val="EndnoteReference"/>
        </w:rPr>
        <w:endnoteReference w:id="149"/>
      </w:r>
      <w:r>
        <w:t>, which are publicly available on their websites.</w:t>
      </w:r>
    </w:p>
    <w:p w:rsidR="003F30AE" w:rsidRDefault="003F30AE" w:rsidP="003F30AE">
      <w:pPr>
        <w:pStyle w:val="Normalrglronly"/>
        <w:rPr>
          <w:color w:val="000000" w:themeColor="text1"/>
        </w:rPr>
      </w:pPr>
      <w:r w:rsidRPr="00FE27EE">
        <w:rPr>
          <w:b/>
          <w:color w:val="000000" w:themeColor="text1"/>
        </w:rPr>
        <w:t>‘</w:t>
      </w:r>
      <w:r>
        <w:rPr>
          <w:b/>
          <w:color w:val="000000" w:themeColor="text1"/>
        </w:rPr>
        <w:t>Plan</w:t>
      </w:r>
      <w:r w:rsidRPr="00FE27EE">
        <w:rPr>
          <w:b/>
          <w:color w:val="000000" w:themeColor="text1"/>
        </w:rPr>
        <w:t xml:space="preserve"> </w:t>
      </w:r>
      <w:r>
        <w:rPr>
          <w:b/>
          <w:color w:val="000000" w:themeColor="text1"/>
        </w:rPr>
        <w:t xml:space="preserve">City </w:t>
      </w:r>
      <w:r w:rsidRPr="00FE27EE">
        <w:rPr>
          <w:b/>
          <w:color w:val="000000" w:themeColor="text1"/>
        </w:rPr>
        <w:t>Budget’</w:t>
      </w:r>
      <w:r>
        <w:rPr>
          <w:b/>
          <w:color w:val="000000" w:themeColor="text1"/>
        </w:rPr>
        <w:t xml:space="preserve"> electronic mechanism</w:t>
      </w:r>
      <w:r w:rsidRPr="00FE27EE">
        <w:rPr>
          <w:b/>
          <w:color w:val="000000" w:themeColor="text1"/>
        </w:rPr>
        <w:t>:</w:t>
      </w:r>
      <w:r>
        <w:rPr>
          <w:color w:val="000000" w:themeColor="text1"/>
        </w:rPr>
        <w:t xml:space="preserve"> w</w:t>
      </w:r>
      <w:r w:rsidRPr="009933AD">
        <w:rPr>
          <w:color w:val="000000" w:themeColor="text1"/>
        </w:rPr>
        <w:t>ithin the</w:t>
      </w:r>
      <w:r>
        <w:rPr>
          <w:color w:val="000000" w:themeColor="text1"/>
        </w:rPr>
        <w:t xml:space="preserve"> GGI project</w:t>
      </w:r>
      <w:r w:rsidRPr="009933AD">
        <w:rPr>
          <w:color w:val="000000" w:themeColor="text1"/>
        </w:rPr>
        <w:t>, Institute for Development of Freedom of Information (IDFI) together with the</w:t>
      </w:r>
      <w:r>
        <w:rPr>
          <w:color w:val="000000" w:themeColor="text1"/>
        </w:rPr>
        <w:t xml:space="preserve"> </w:t>
      </w:r>
      <w:r w:rsidRPr="009933AD">
        <w:rPr>
          <w:color w:val="000000" w:themeColor="text1"/>
        </w:rPr>
        <w:t>E-Governance Academy (eGA)</w:t>
      </w:r>
      <w:r>
        <w:rPr>
          <w:color w:val="000000" w:themeColor="text1"/>
        </w:rPr>
        <w:t xml:space="preserve"> developed new websites for Kutaisi (</w:t>
      </w:r>
      <w:hyperlink r:id="rId26" w:history="1">
        <w:r w:rsidRPr="00291E01">
          <w:rPr>
            <w:rStyle w:val="Hyperlink"/>
          </w:rPr>
          <w:t>www.kutaisi.gov.ge</w:t>
        </w:r>
      </w:hyperlink>
      <w:r>
        <w:rPr>
          <w:color w:val="000000" w:themeColor="text1"/>
        </w:rPr>
        <w:t>) and Akhaltsikhe Municipalities (</w:t>
      </w:r>
      <w:hyperlink r:id="rId27" w:history="1">
        <w:r w:rsidRPr="00291E01">
          <w:rPr>
            <w:rStyle w:val="Hyperlink"/>
          </w:rPr>
          <w:t>www.akhaltsikhe.gov.ge</w:t>
        </w:r>
      </w:hyperlink>
      <w:r>
        <w:rPr>
          <w:color w:val="000000" w:themeColor="text1"/>
        </w:rPr>
        <w:t>), whi</w:t>
      </w:r>
      <w:r w:rsidRPr="00015CF4">
        <w:rPr>
          <w:color w:val="000000" w:themeColor="text1"/>
        </w:rPr>
        <w:t>ch incorporate the</w:t>
      </w:r>
      <w:r>
        <w:rPr>
          <w:color w:val="000000" w:themeColor="text1"/>
        </w:rPr>
        <w:t xml:space="preserve"> participatory budgeting mechanism – “Plan</w:t>
      </w:r>
      <w:r w:rsidRPr="00015CF4">
        <w:rPr>
          <w:color w:val="000000" w:themeColor="text1"/>
        </w:rPr>
        <w:t xml:space="preserve"> </w:t>
      </w:r>
      <w:r>
        <w:rPr>
          <w:color w:val="000000" w:themeColor="text1"/>
        </w:rPr>
        <w:t xml:space="preserve">City </w:t>
      </w:r>
      <w:r w:rsidRPr="00015CF4">
        <w:rPr>
          <w:color w:val="000000" w:themeColor="text1"/>
        </w:rPr>
        <w:t>Budget”</w:t>
      </w:r>
      <w:r>
        <w:rPr>
          <w:color w:val="000000" w:themeColor="text1"/>
        </w:rPr>
        <w:t>. While the new website with a similar interface and participatory services was also developed for Batumi Town Hall, it is yet to be launched</w:t>
      </w:r>
      <w:r>
        <w:rPr>
          <w:rStyle w:val="EndnoteReference"/>
          <w:color w:val="000000" w:themeColor="text1"/>
        </w:rPr>
        <w:endnoteReference w:id="150"/>
      </w:r>
      <w:r>
        <w:rPr>
          <w:color w:val="000000" w:themeColor="text1"/>
        </w:rPr>
        <w:t>. In 2018, the citizens registered in Akhaltsikhe and Kutaisi municipalities can submit budgetary proposals through the electronic portal “VOLIS”, which is an Estonian model for participatory budgeting</w:t>
      </w:r>
      <w:r>
        <w:rPr>
          <w:rStyle w:val="EndnoteReference"/>
          <w:color w:val="000000" w:themeColor="text1"/>
        </w:rPr>
        <w:endnoteReference w:id="151"/>
      </w:r>
      <w:r>
        <w:rPr>
          <w:color w:val="000000" w:themeColor="text1"/>
        </w:rPr>
        <w:t>.</w:t>
      </w:r>
    </w:p>
    <w:p w:rsidR="003F30AE" w:rsidRPr="00B066B0" w:rsidRDefault="003F30AE" w:rsidP="003F30AE">
      <w:pPr>
        <w:pStyle w:val="Normalrglronly"/>
        <w:rPr>
          <w:rFonts w:ascii="Menlo Regular" w:hAnsi="Menlo Regular" w:cs="Menlo Regular"/>
          <w:color w:val="000000" w:themeColor="text1"/>
        </w:rPr>
      </w:pPr>
      <w:r>
        <w:rPr>
          <w:color w:val="000000" w:themeColor="text1"/>
        </w:rPr>
        <w:t>Batumi Town Hall decided to introduce the additional safety mechanisms on submitting budgetary proposals online, which requires more time for setting up the system and resulted in postponing the launch of the platform</w:t>
      </w:r>
      <w:r>
        <w:rPr>
          <w:rStyle w:val="EndnoteReference"/>
          <w:color w:val="000000" w:themeColor="text1"/>
        </w:rPr>
        <w:endnoteReference w:id="152"/>
      </w:r>
      <w:r>
        <w:rPr>
          <w:color w:val="000000" w:themeColor="text1"/>
        </w:rPr>
        <w:t>. However, the representative of the Town Hall anticipated launching the “Plan City Budget” by the end of 2018.</w:t>
      </w:r>
    </w:p>
    <w:p w:rsidR="003F30AE" w:rsidRDefault="003F30AE" w:rsidP="003F30AE">
      <w:pPr>
        <w:pStyle w:val="Normalrglronly"/>
        <w:rPr>
          <w:color w:val="000000" w:themeColor="text1"/>
        </w:rPr>
      </w:pPr>
      <w:r w:rsidRPr="00923903">
        <w:rPr>
          <w:color w:val="000000" w:themeColor="text1"/>
        </w:rPr>
        <w:t xml:space="preserve">Ozurgeti Municipality could not introduce the service within the 2016-2018 action plan cycle. </w:t>
      </w:r>
      <w:r w:rsidR="00C73F01">
        <w:rPr>
          <w:color w:val="000000" w:themeColor="text1"/>
        </w:rPr>
        <w:t xml:space="preserve">Instead, the </w:t>
      </w:r>
      <w:r w:rsidRPr="00923903">
        <w:rPr>
          <w:color w:val="000000" w:themeColor="text1"/>
        </w:rPr>
        <w:t xml:space="preserve">Ozurgeti Municipality Assembly intends to set up an interactive - “Problem Map”, which will allow citizens to indicate issues of </w:t>
      </w:r>
      <w:r w:rsidR="00C73F01">
        <w:rPr>
          <w:color w:val="000000" w:themeColor="text1"/>
        </w:rPr>
        <w:t xml:space="preserve">concern for their </w:t>
      </w:r>
      <w:r w:rsidRPr="00923903">
        <w:rPr>
          <w:color w:val="000000" w:themeColor="text1"/>
        </w:rPr>
        <w:t>respective communities on a map. This service, together with the budget guidebook, is in the development process</w:t>
      </w:r>
      <w:r>
        <w:rPr>
          <w:color w:val="000000" w:themeColor="text1"/>
        </w:rPr>
        <w:t xml:space="preserve"> and </w:t>
      </w:r>
      <w:r w:rsidR="00C73F01">
        <w:rPr>
          <w:color w:val="000000" w:themeColor="text1"/>
        </w:rPr>
        <w:t>was</w:t>
      </w:r>
      <w:r>
        <w:rPr>
          <w:color w:val="000000" w:themeColor="text1"/>
        </w:rPr>
        <w:t xml:space="preserve"> expected to</w:t>
      </w:r>
      <w:r w:rsidRPr="00923903">
        <w:rPr>
          <w:color w:val="000000" w:themeColor="text1"/>
        </w:rPr>
        <w:t xml:space="preserve"> be</w:t>
      </w:r>
      <w:r>
        <w:rPr>
          <w:color w:val="000000" w:themeColor="text1"/>
        </w:rPr>
        <w:t xml:space="preserve"> launched by the end of 2018.</w:t>
      </w:r>
    </w:p>
    <w:p w:rsidR="003F30AE" w:rsidRPr="003F212E" w:rsidRDefault="003F30AE" w:rsidP="003F30AE">
      <w:pPr>
        <w:pStyle w:val="Normalrglronly"/>
      </w:pPr>
      <w:r w:rsidRPr="008B44E5">
        <w:rPr>
          <w:b/>
        </w:rPr>
        <w:t>Citizens Guidebook on Local Budget</w:t>
      </w:r>
      <w:r>
        <w:t xml:space="preserve">. The three municipalities, including Batumi, Akhaltsikhe and Kutaisi developed citizens’ guidebook on local budget, however </w:t>
      </w:r>
      <w:r>
        <w:rPr>
          <w:color w:val="000000" w:themeColor="text1"/>
        </w:rPr>
        <w:t xml:space="preserve">only </w:t>
      </w:r>
      <w:r>
        <w:rPr>
          <w:color w:val="000000" w:themeColor="text1"/>
        </w:rPr>
        <w:lastRenderedPageBreak/>
        <w:t xml:space="preserve">Batumi Municipality uploaded it on the website. Neither Akhaltsikhe, nor Kutaisi municipalities have made the electronic versions of the guidebook available; nevertheless, the Akhaltsikhe Municipality Town Hall printed pamphlets and made a public presentation of the budget guideline. </w:t>
      </w:r>
      <w:r w:rsidR="00C73F01">
        <w:rPr>
          <w:color w:val="000000" w:themeColor="text1"/>
        </w:rPr>
        <w:t>By the time of writing this report, t</w:t>
      </w:r>
      <w:r>
        <w:rPr>
          <w:color w:val="000000" w:themeColor="text1"/>
        </w:rPr>
        <w:t xml:space="preserve">he Ozurgeti Municipality Assembly </w:t>
      </w:r>
      <w:r w:rsidR="00C73F01">
        <w:rPr>
          <w:color w:val="000000" w:themeColor="text1"/>
        </w:rPr>
        <w:t>wa</w:t>
      </w:r>
      <w:r>
        <w:rPr>
          <w:color w:val="000000" w:themeColor="text1"/>
        </w:rPr>
        <w:t>s working on the document</w:t>
      </w:r>
      <w:r>
        <w:rPr>
          <w:rStyle w:val="EndnoteReference"/>
          <w:color w:val="000000" w:themeColor="text1"/>
        </w:rPr>
        <w:endnoteReference w:id="153"/>
      </w:r>
      <w:r>
        <w:rPr>
          <w:color w:val="000000" w:themeColor="text1"/>
        </w:rPr>
        <w:t>.</w:t>
      </w:r>
    </w:p>
    <w:p w:rsidR="003F30AE" w:rsidRPr="00AA0164" w:rsidRDefault="003F30AE" w:rsidP="00FE5928">
      <w:pPr>
        <w:pStyle w:val="Heading3"/>
      </w:pPr>
      <w:bookmarkStart w:id="135" w:name="_Toc529199407"/>
      <w:bookmarkStart w:id="136" w:name="_Toc529997062"/>
      <w:bookmarkStart w:id="137" w:name="_Toc530910755"/>
      <w:r w:rsidRPr="00AA0164">
        <w:t>Did It Open Government?</w:t>
      </w:r>
      <w:bookmarkEnd w:id="135"/>
      <w:bookmarkEnd w:id="136"/>
      <w:bookmarkEnd w:id="137"/>
    </w:p>
    <w:p w:rsidR="003F30AE" w:rsidRDefault="003F30AE" w:rsidP="003F30AE">
      <w:pPr>
        <w:rPr>
          <w:b/>
          <w:color w:val="000000" w:themeColor="text1"/>
        </w:rPr>
      </w:pPr>
    </w:p>
    <w:p w:rsidR="003F30AE" w:rsidRPr="008F3FE4" w:rsidRDefault="003F30AE" w:rsidP="003F30AE">
      <w:pPr>
        <w:rPr>
          <w:b/>
          <w:color w:val="000000" w:themeColor="text1"/>
        </w:rPr>
      </w:pPr>
      <w:r w:rsidRPr="008F3FE4">
        <w:rPr>
          <w:b/>
          <w:color w:val="000000" w:themeColor="text1"/>
        </w:rPr>
        <w:t>Access to Information: Major</w:t>
      </w:r>
    </w:p>
    <w:p w:rsidR="003F30AE" w:rsidRPr="004B1C12" w:rsidRDefault="003F30AE" w:rsidP="003F30AE">
      <w:pPr>
        <w:rPr>
          <w:b/>
          <w:color w:val="000000" w:themeColor="text1"/>
        </w:rPr>
      </w:pPr>
      <w:r>
        <w:rPr>
          <w:b/>
          <w:color w:val="000000" w:themeColor="text1"/>
        </w:rPr>
        <w:t>Civic Participation: Marginal</w:t>
      </w:r>
    </w:p>
    <w:p w:rsidR="003F30AE" w:rsidRDefault="003F30AE" w:rsidP="003F30AE">
      <w:pPr>
        <w:rPr>
          <w:b/>
          <w:color w:val="000000" w:themeColor="text1"/>
        </w:rPr>
      </w:pPr>
    </w:p>
    <w:p w:rsidR="003F30AE" w:rsidRDefault="003F30AE" w:rsidP="003F30AE">
      <w:pPr>
        <w:pStyle w:val="Normalrglronly"/>
        <w:rPr>
          <w:color w:val="000000" w:themeColor="text1"/>
        </w:rPr>
      </w:pPr>
      <w:r>
        <w:rPr>
          <w:color w:val="000000" w:themeColor="text1"/>
        </w:rPr>
        <w:t>As per NAP 2016-2018, low public knowledge of local budget governance was cited as</w:t>
      </w:r>
      <w:r w:rsidR="00C73F01">
        <w:rPr>
          <w:color w:val="000000" w:themeColor="text1"/>
        </w:rPr>
        <w:t xml:space="preserve"> being problematic</w:t>
      </w:r>
      <w:r>
        <w:rPr>
          <w:color w:val="000000" w:themeColor="text1"/>
        </w:rPr>
        <w:t xml:space="preserve"> </w:t>
      </w:r>
      <w:r w:rsidR="00C73F01">
        <w:rPr>
          <w:color w:val="000000" w:themeColor="text1"/>
        </w:rPr>
        <w:t xml:space="preserve">in </w:t>
      </w:r>
      <w:r>
        <w:rPr>
          <w:color w:val="000000" w:themeColor="text1"/>
        </w:rPr>
        <w:t xml:space="preserve">municipalities. </w:t>
      </w:r>
      <w:r w:rsidR="00C73F01">
        <w:rPr>
          <w:color w:val="000000" w:themeColor="text1"/>
        </w:rPr>
        <w:t>After</w:t>
      </w:r>
      <w:r>
        <w:rPr>
          <w:color w:val="000000" w:themeColor="text1"/>
        </w:rPr>
        <w:t xml:space="preserve"> publishing program budgets, citizens are able access the information for all four municipalities in more detail. Program budget format is different from previously available budget documents in the sense that it provides information on budget spending according to programs, rather than implementing agencies, is more detailed and illustrates a clearer link between financial resources and outputs</w:t>
      </w:r>
      <w:r>
        <w:rPr>
          <w:rStyle w:val="EndnoteReference"/>
          <w:color w:val="000000" w:themeColor="text1"/>
        </w:rPr>
        <w:endnoteReference w:id="154"/>
      </w:r>
      <w:r>
        <w:rPr>
          <w:color w:val="000000" w:themeColor="text1"/>
        </w:rPr>
        <w:t>. Citizen’s guidebook to local budget also serves as an important source of information for the population, making budgetary processes more understandable. However, as the focus groups in Akhlatsikhe and Ozurgeti showed, there is lack of information on these new resources</w:t>
      </w:r>
      <w:r w:rsidR="00C73F01">
        <w:rPr>
          <w:color w:val="000000" w:themeColor="text1"/>
        </w:rPr>
        <w:t xml:space="preserve">. </w:t>
      </w:r>
      <w:r>
        <w:rPr>
          <w:color w:val="000000" w:themeColor="text1"/>
        </w:rPr>
        <w:t>One issue raised by the focus group participants was general skepticism towards the decision-makers, about their tendency to disregard concerns of the population; hence, regular communication with the citizens to build trusting relationships and encourage civic participation is crucial.</w:t>
      </w:r>
    </w:p>
    <w:p w:rsidR="003F30AE" w:rsidRPr="00622452" w:rsidRDefault="003F30AE" w:rsidP="003F30AE">
      <w:pPr>
        <w:pStyle w:val="Normalrglronly"/>
        <w:rPr>
          <w:color w:val="000000" w:themeColor="text1"/>
        </w:rPr>
      </w:pPr>
      <w:r>
        <w:rPr>
          <w:color w:val="000000" w:themeColor="text1"/>
        </w:rPr>
        <w:t>“Plan City Budget” is a novelty, which seeks citizens’ inputs on budget priorities. Since the introduction of an electronic participatory budget mechanism in the beginning of 2018, Akhaltsikhe Municipality received 78, while Kutaisi municipality received 28 budget proposals, which indicates active civic interest and participation. Both Akhaltsikhe and Kutaisi Municipalities created working groups to assess the proposals. However, their structure and methods to process the proposals differ. The newly established working group at Kutaisi Municipality Town Hall consists of the representatives from the government, CSO, media and private sectors, as well as the independent citizens, while in Akhaltsikhe, its members are the Town Hall representatives</w:t>
      </w:r>
      <w:r>
        <w:rPr>
          <w:rStyle w:val="EndnoteReference"/>
          <w:color w:val="000000" w:themeColor="text1"/>
        </w:rPr>
        <w:endnoteReference w:id="155"/>
      </w:r>
      <w:r>
        <w:rPr>
          <w:color w:val="000000" w:themeColor="text1"/>
        </w:rPr>
        <w:t>. While Akhaltsikhe Municipality does not restrict the number of proposals for public voting, Kutaisi publishes only 3, which may limit the choice of projects for public to vote. The working group provides argumentative explanations to those authors, whose proposals were rejected from proceeding to the next step of online public voting</w:t>
      </w:r>
      <w:r>
        <w:rPr>
          <w:rStyle w:val="EndnoteReference"/>
          <w:color w:val="000000" w:themeColor="text1"/>
        </w:rPr>
        <w:endnoteReference w:id="156"/>
      </w:r>
      <w:r>
        <w:rPr>
          <w:color w:val="000000" w:themeColor="text1"/>
        </w:rPr>
        <w:t>. Afterwards, successful proposals are published online</w:t>
      </w:r>
      <w:r>
        <w:rPr>
          <w:rStyle w:val="EndnoteReference"/>
          <w:color w:val="000000" w:themeColor="text1"/>
        </w:rPr>
        <w:endnoteReference w:id="157"/>
      </w:r>
      <w:r>
        <w:rPr>
          <w:color w:val="000000" w:themeColor="text1"/>
        </w:rPr>
        <w:t>. Top voted proposals for Akhaltsikhe, for instance were regarding creating green and recreational spaces, painting houses and reconstructing street lights, stadium and a building in the village Atskuri. Others were about fixing water pipelines, creating playgrounds for children and road constructions. Akhaltsikhe Town Hall already allocated funds for the most voted proposal within the 2019 budget on creating green areas, while proposals in Kutaisi municipality are still undergoing the evaluation process.</w:t>
      </w:r>
      <w:r>
        <w:rPr>
          <w:color w:val="000000" w:themeColor="text1"/>
        </w:rPr>
        <w:br/>
      </w:r>
      <w:r>
        <w:rPr>
          <w:color w:val="000000" w:themeColor="text1"/>
        </w:rPr>
        <w:br/>
      </w:r>
      <w:r>
        <w:t>To increase public awareness and engagement, the GGI project experts plan to visit Kutaisi and Akhaltsikhe to develop outreach campaigns</w:t>
      </w:r>
      <w:r>
        <w:rPr>
          <w:rStyle w:val="EndnoteReference"/>
        </w:rPr>
        <w:endnoteReference w:id="158"/>
      </w:r>
      <w:r>
        <w:t xml:space="preserve">. Due to the fact that Batumi </w:t>
      </w:r>
      <w:r>
        <w:lastRenderedPageBreak/>
        <w:t>and Ozurgeti Municipalities have not introduced the mechanism within the National Action Plan 2016-2018 cycle, there has been no civic engagement in the budgetary planning process in this regard. Kutaisi Municipality Town Hall conducted awareness-raising activities, including appearance in television programs and meetings with youth, to inform them about the portal, however the  representative of Town Hall stressed the lack of civic participation due to inconvenient timing of outreach campaign during the summer period</w:t>
      </w:r>
      <w:r>
        <w:rPr>
          <w:rStyle w:val="EndnoteReference"/>
        </w:rPr>
        <w:endnoteReference w:id="159"/>
      </w:r>
      <w:r>
        <w:t xml:space="preserve">. </w:t>
      </w:r>
    </w:p>
    <w:p w:rsidR="006F39B2" w:rsidRDefault="006F39B2" w:rsidP="00FE5928">
      <w:pPr>
        <w:pStyle w:val="Heading3"/>
        <w:rPr>
          <w:rFonts w:eastAsiaTheme="minorEastAsia"/>
          <w:bCs w:val="0"/>
          <w:color w:val="000000" w:themeColor="text1"/>
          <w:lang w:val="en-US"/>
        </w:rPr>
      </w:pPr>
      <w:bookmarkStart w:id="138" w:name="_Toc529199408"/>
      <w:bookmarkStart w:id="139" w:name="_Toc529997063"/>
      <w:bookmarkStart w:id="140" w:name="_Toc530910756"/>
    </w:p>
    <w:p w:rsidR="003F30AE" w:rsidRPr="00831E0B" w:rsidRDefault="003F30AE" w:rsidP="00FE5928">
      <w:pPr>
        <w:pStyle w:val="Heading3"/>
      </w:pPr>
      <w:r w:rsidRPr="00D25809">
        <w:t>Carried Forward?</w:t>
      </w:r>
      <w:bookmarkEnd w:id="138"/>
      <w:bookmarkEnd w:id="139"/>
      <w:bookmarkEnd w:id="140"/>
    </w:p>
    <w:p w:rsidR="003F30AE" w:rsidRDefault="003F30AE" w:rsidP="003F30AE">
      <w:pPr>
        <w:tabs>
          <w:tab w:val="clear" w:pos="2880"/>
        </w:tabs>
      </w:pPr>
    </w:p>
    <w:p w:rsidR="003F30AE" w:rsidRDefault="003F30AE" w:rsidP="003F30AE">
      <w:pPr>
        <w:tabs>
          <w:tab w:val="clear" w:pos="2880"/>
        </w:tabs>
      </w:pPr>
      <w:r>
        <w:t>The commitment was not carried forward in the new Action Plan 2018-2019. However, through the GGI support, Batumi Municipality Town Hall made a related commitment, which aims to enhance civic participation in budgetary planning processes through institutionalizing the participatory planning mechanisms. The commitment encapsulates awareness raising activities to popularize the participatory mechanisms, as well as envisages adapting relevant legal framework to institutionalize them.</w:t>
      </w:r>
    </w:p>
    <w:p w:rsidR="003F30AE" w:rsidRDefault="003F30AE" w:rsidP="003F30AE">
      <w:pPr>
        <w:tabs>
          <w:tab w:val="clear" w:pos="2880"/>
        </w:tabs>
      </w:pPr>
    </w:p>
    <w:p w:rsidR="003F30AE" w:rsidRPr="00086C39" w:rsidRDefault="003F30AE" w:rsidP="003F30AE">
      <w:pPr>
        <w:tabs>
          <w:tab w:val="clear" w:pos="2880"/>
        </w:tabs>
        <w:sectPr w:rsidR="003F30AE" w:rsidRPr="00086C39" w:rsidSect="003F30AE">
          <w:footnotePr>
            <w:numFmt w:val="lowerRoman"/>
          </w:footnotePr>
          <w:endnotePr>
            <w:numFmt w:val="decimal"/>
            <w:numRestart w:val="eachSect"/>
          </w:endnotePr>
          <w:type w:val="continuous"/>
          <w:pgSz w:w="11900" w:h="16840"/>
          <w:pgMar w:top="1440" w:right="1800" w:bottom="1440" w:left="1800" w:header="708" w:footer="708" w:gutter="0"/>
          <w:cols w:space="708"/>
          <w:docGrid w:linePitch="360"/>
        </w:sectPr>
      </w:pPr>
      <w:r>
        <w:rPr>
          <w:color w:val="000000" w:themeColor="text1"/>
        </w:rPr>
        <w:t>On a long-term perspective, the IRM researcher advises to develop standardized institutional procedures for budgetary proposal discussions and public voting, as well as to create uniform websites and participatory tools for all municipalities across the country. Beyond the current commitment, in 2017, Tbilisi City Hall also took steps to develop a participatory budget planning mechanism</w:t>
      </w:r>
      <w:r>
        <w:rPr>
          <w:rStyle w:val="EndnoteReference"/>
          <w:color w:val="000000" w:themeColor="text1"/>
        </w:rPr>
        <w:endnoteReference w:id="160"/>
      </w:r>
      <w:r>
        <w:rPr>
          <w:color w:val="000000" w:themeColor="text1"/>
        </w:rPr>
        <w:t>, therefore, as some municipalities desire to adopt the system, it would be useful to coordinate the activities and agree on a unified approach. The central government could provide support and coordination to make budgetary processes in municipalities sustainable and to expand these to all Georgian municipalities. The responsible agencies could be the Ministry of Justice, which operates the State Development Agency (SDA)</w:t>
      </w:r>
      <w:r>
        <w:rPr>
          <w:rStyle w:val="EndnoteReference"/>
          <w:color w:val="000000" w:themeColor="text1"/>
        </w:rPr>
        <w:endnoteReference w:id="161"/>
      </w:r>
      <w:r>
        <w:rPr>
          <w:color w:val="000000" w:themeColor="text1"/>
        </w:rPr>
        <w:t>, the Ministry of Economy and Sustainable Development - the services of which include the state budget governance and modern technologies</w:t>
      </w:r>
      <w:r>
        <w:rPr>
          <w:rStyle w:val="EndnoteReference"/>
          <w:color w:val="000000" w:themeColor="text1"/>
        </w:rPr>
        <w:endnoteReference w:id="162"/>
      </w:r>
      <w:r>
        <w:rPr>
          <w:color w:val="000000" w:themeColor="text1"/>
        </w:rPr>
        <w:t>, and the Ministry of Regional Development and Infrastructure – which coordinates the Municipal Development Fund of Georgia working on strengthening institutional capacities and services of local government units</w:t>
      </w:r>
      <w:r>
        <w:rPr>
          <w:rStyle w:val="EndnoteReference"/>
          <w:color w:val="000000" w:themeColor="text1"/>
        </w:rPr>
        <w:endnoteReference w:id="163"/>
      </w:r>
      <w:r>
        <w:rPr>
          <w:color w:val="000000" w:themeColor="text1"/>
        </w:rPr>
        <w:t>. As informed by IDFI representative, municipalities can also approach the organization for support to develop user-friendly websites with participatory tools, similar to Zugdidi and Kutaisi</w:t>
      </w:r>
      <w:r>
        <w:rPr>
          <w:rStyle w:val="EndnoteReference"/>
          <w:color w:val="000000" w:themeColor="text1"/>
        </w:rPr>
        <w:endnoteReference w:id="164"/>
      </w:r>
    </w:p>
    <w:p w:rsidR="008E3268" w:rsidRPr="004B1C12" w:rsidRDefault="008E3268" w:rsidP="00CB3E97">
      <w:pPr>
        <w:pStyle w:val="Heading1"/>
      </w:pPr>
      <w:bookmarkStart w:id="141" w:name="_Toc409220397"/>
      <w:r w:rsidRPr="004B1C12">
        <w:lastRenderedPageBreak/>
        <w:t>M</w:t>
      </w:r>
      <w:r w:rsidR="00E54FC4" w:rsidRPr="004B1C12">
        <w:t>ethodological</w:t>
      </w:r>
      <w:r w:rsidRPr="004B1C12">
        <w:t xml:space="preserve"> N</w:t>
      </w:r>
      <w:r w:rsidR="00E54FC4" w:rsidRPr="004B1C12">
        <w:t>ote</w:t>
      </w:r>
      <w:bookmarkEnd w:id="141"/>
    </w:p>
    <w:p w:rsidR="003F30AE" w:rsidRDefault="003F30AE" w:rsidP="003F30AE">
      <w:pPr>
        <w:pStyle w:val="Normalrglronly"/>
      </w:pPr>
    </w:p>
    <w:p w:rsidR="003F30AE" w:rsidRPr="004B1C12" w:rsidRDefault="003F30AE" w:rsidP="003F30AE">
      <w:pPr>
        <w:pStyle w:val="Normalrglronly"/>
      </w:pPr>
      <w:r w:rsidRPr="004B1C12">
        <w:t xml:space="preserve">The end-of-term report is based on </w:t>
      </w:r>
      <w:r>
        <w:t>desk research,</w:t>
      </w:r>
      <w:r w:rsidRPr="004B1C12">
        <w:t xml:space="preserve"> interviews with governmental and nongovernmental stakeholders</w:t>
      </w:r>
      <w:r>
        <w:t xml:space="preserve"> and focus groups with citizens in three Georgian towns, </w:t>
      </w:r>
      <w:r w:rsidR="00996E98">
        <w:t>namely</w:t>
      </w:r>
      <w:r>
        <w:t xml:space="preserve"> Akhaltsikhe, Ozurgeti and Zugdidi</w:t>
      </w:r>
      <w:r w:rsidRPr="004B1C12">
        <w:t>.</w:t>
      </w:r>
      <w:r>
        <w:t xml:space="preserve"> </w:t>
      </w:r>
      <w:r w:rsidRPr="004B1C12">
        <w:t>The IRM report builds on the findings of the government’s self-assessment report;</w:t>
      </w:r>
      <w:r>
        <w:t xml:space="preserve"> </w:t>
      </w:r>
      <w:r w:rsidRPr="004B1C12">
        <w:t>other assessments of progress put out by civil society, the private sector, or international organizations; and the previous IRM progress report.</w:t>
      </w:r>
    </w:p>
    <w:p w:rsidR="003F30AE" w:rsidRDefault="003F30AE" w:rsidP="00C31F51">
      <w:pPr>
        <w:pStyle w:val="Normalrglronly"/>
      </w:pPr>
    </w:p>
    <w:p w:rsidR="00EE25E6" w:rsidRDefault="00164671" w:rsidP="00C31F51">
      <w:pPr>
        <w:pStyle w:val="Normalrglronly"/>
      </w:pPr>
      <w:r>
        <w:t>As in the case of mid-term report, IRM researchers in Georgia interviewed representatives of responsible public agencies, civil society actors</w:t>
      </w:r>
      <w:r w:rsidR="00810D4D">
        <w:t>, and donor representatives</w:t>
      </w:r>
      <w:r>
        <w:t xml:space="preserve"> to inform the end of term assessment of the national action plan. The interviewees were selected according to their relevance and involvement in the development and implementation of government commitments, or could provide expertise in the field. IRM researchers interviewed around 20 public agencies and several CSO</w:t>
      </w:r>
      <w:r w:rsidR="00810D4D">
        <w:t xml:space="preserve"> and one key donor representative. Some of</w:t>
      </w:r>
      <w:r>
        <w:t xml:space="preserve"> </w:t>
      </w:r>
      <w:r w:rsidR="00810D4D">
        <w:t xml:space="preserve">the selected interviewees </w:t>
      </w:r>
      <w:r>
        <w:t>had sectoral expertise while others covered a wide range of cross-cutting issues. The interviews were conducted over the phone, in person, or via email.</w:t>
      </w:r>
    </w:p>
    <w:p w:rsidR="003F30AE" w:rsidRDefault="003F30AE" w:rsidP="00C31F51">
      <w:pPr>
        <w:pStyle w:val="Normalrglronly"/>
      </w:pPr>
    </w:p>
    <w:p w:rsidR="003F30AE" w:rsidRPr="004B1C12" w:rsidRDefault="003F30AE" w:rsidP="00C31F51">
      <w:pPr>
        <w:pStyle w:val="Normalrglronly"/>
      </w:pPr>
      <w:r>
        <w:t xml:space="preserve">In order to provide additional insight on four commitments (18, 22, 23 and 24), the IRM researcher organized three focus groups. The researcher contacted and invited the focus group participants by phone, using the citizens’ database bought from the local Centers for Civic Engagement (CCE). The participants consisted of people with different occupations, gender and age group, including students, employed and unemployed individuals. The majority of individuals refused to participate, resulting in small focus groups. The largest group was in Akhaltsikhe – 9 participants, followed with Ozurgeti and Zugdidi – 6 and 5 participants respectively. </w:t>
      </w:r>
    </w:p>
    <w:p w:rsidR="0060422D" w:rsidRPr="004B1C12" w:rsidRDefault="00996E98" w:rsidP="00B0395A">
      <w:pPr>
        <w:pStyle w:val="Normalrglronly"/>
      </w:pPr>
      <w:r w:rsidRPr="004B1C12">
        <w:rPr>
          <w:noProof/>
        </w:rPr>
        <w:lastRenderedPageBreak/>
        <w:drawing>
          <wp:anchor distT="0" distB="0" distL="114300" distR="114300" simplePos="0" relativeHeight="251659776" behindDoc="0" locked="0" layoutInCell="1" allowOverlap="1" wp14:anchorId="101019A7" wp14:editId="0FD91B5A">
            <wp:simplePos x="0" y="0"/>
            <wp:positionH relativeFrom="margin">
              <wp:posOffset>5746750</wp:posOffset>
            </wp:positionH>
            <wp:positionV relativeFrom="paragraph">
              <wp:posOffset>2029310</wp:posOffset>
            </wp:positionV>
            <wp:extent cx="914400" cy="91440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0AE" w:rsidRPr="004B1C12">
        <w:rPr>
          <w:noProof/>
        </w:rPr>
        <mc:AlternateContent>
          <mc:Choice Requires="wps">
            <w:drawing>
              <wp:anchor distT="0" distB="0" distL="114300" distR="114300" simplePos="0" relativeHeight="251654656" behindDoc="0" locked="0" layoutInCell="1" allowOverlap="1" wp14:anchorId="6F0F1C6C" wp14:editId="6FA9ECCE">
                <wp:simplePos x="0" y="0"/>
                <wp:positionH relativeFrom="column">
                  <wp:posOffset>-457200</wp:posOffset>
                </wp:positionH>
                <wp:positionV relativeFrom="paragraph">
                  <wp:posOffset>22860</wp:posOffset>
                </wp:positionV>
                <wp:extent cx="6203950" cy="5349240"/>
                <wp:effectExtent l="76200" t="50800" r="95250" b="137160"/>
                <wp:wrapTight wrapText="bothSides">
                  <wp:wrapPolygon edited="0">
                    <wp:start x="-177" y="-205"/>
                    <wp:lineTo x="-265" y="-103"/>
                    <wp:lineTo x="-265" y="21846"/>
                    <wp:lineTo x="-177" y="22051"/>
                    <wp:lineTo x="21755" y="22051"/>
                    <wp:lineTo x="21843" y="21231"/>
                    <wp:lineTo x="21843" y="1538"/>
                    <wp:lineTo x="21755" y="0"/>
                    <wp:lineTo x="21755" y="-205"/>
                    <wp:lineTo x="-177" y="-205"/>
                  </wp:wrapPolygon>
                </wp:wrapTight>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0" cy="5349240"/>
                        </a:xfrm>
                        <a:prstGeom prst="rect">
                          <a:avLst/>
                        </a:prstGeom>
                        <a:gradFill rotWithShape="1">
                          <a:gsLst>
                            <a:gs pos="0">
                              <a:srgbClr val="A7BFDE">
                                <a:alpha val="14998"/>
                              </a:srgbClr>
                            </a:gs>
                            <a:gs pos="100000">
                              <a:srgbClr val="4F81BD">
                                <a:alpha val="14998"/>
                              </a:srgbClr>
                            </a:gs>
                          </a:gsLst>
                          <a:lin ang="5400000"/>
                        </a:gradFill>
                        <a:ln w="9525">
                          <a:solidFill>
                            <a:srgbClr val="4579B8"/>
                          </a:solidFill>
                          <a:miter lim="800000"/>
                          <a:headEnd/>
                          <a:tailEnd/>
                        </a:ln>
                        <a:effectLst>
                          <a:outerShdw blurRad="63500" dist="23000" dir="5400000" rotWithShape="0">
                            <a:srgbClr val="000000">
                              <a:alpha val="34998"/>
                            </a:srgbClr>
                          </a:outerShdw>
                        </a:effectLst>
                      </wps:spPr>
                      <wps:txbx>
                        <w:txbxContent>
                          <w:p w:rsidR="00846D2A" w:rsidRDefault="00846D2A" w:rsidP="005E62C0">
                            <w:pPr>
                              <w:rPr>
                                <w:color w:val="auto"/>
                              </w:rPr>
                            </w:pPr>
                            <w:r w:rsidRPr="001D2FF6">
                              <w:rPr>
                                <w:color w:val="auto"/>
                              </w:rPr>
                              <w:t xml:space="preserve">Lasha Gogidze </w:t>
                            </w:r>
                            <w:r>
                              <w:rPr>
                                <w:color w:val="auto"/>
                              </w:rPr>
                              <w:t>manages local government programs</w:t>
                            </w:r>
                            <w:r w:rsidRPr="001D2FF6">
                              <w:rPr>
                                <w:color w:val="auto"/>
                              </w:rPr>
                              <w:t xml:space="preserve"> at NDI Georgia Office. Lasha has more than 10 years of progressive work experience in democracy, good governance and human rights programming in Georgia.</w:t>
                            </w:r>
                            <w:r>
                              <w:rPr>
                                <w:color w:val="auto"/>
                              </w:rPr>
                              <w:t xml:space="preserve">. Lasha </w:t>
                            </w:r>
                            <w:r w:rsidRPr="001D2FF6">
                              <w:rPr>
                                <w:color w:val="auto"/>
                              </w:rPr>
                              <w:t>completed his Bachelor in International Law at Tbilisi State University and also two Masters Programs in International Relations and European Union Affairs at Central European University in Budapest and at College of Europe in Bruges.</w:t>
                            </w:r>
                            <w:r>
                              <w:rPr>
                                <w:color w:val="auto"/>
                              </w:rPr>
                              <w:t xml:space="preserve"> Currently, he is undertaking a Doctoral Program in Public Administration at Georgian Technical University. </w:t>
                            </w:r>
                          </w:p>
                          <w:p w:rsidR="00846D2A" w:rsidRDefault="00846D2A" w:rsidP="005E62C0">
                            <w:pPr>
                              <w:rPr>
                                <w:color w:val="auto"/>
                              </w:rPr>
                            </w:pPr>
                          </w:p>
                          <w:p w:rsidR="00846D2A" w:rsidRPr="002558F6" w:rsidRDefault="00846D2A" w:rsidP="005E62C0">
                            <w:pPr>
                              <w:rPr>
                                <w:color w:val="auto"/>
                                <w:lang w:val="en-GB"/>
                              </w:rPr>
                            </w:pPr>
                            <w:r>
                              <w:rPr>
                                <w:color w:val="auto"/>
                                <w:lang w:val="en-GB"/>
                              </w:rPr>
                              <w:t xml:space="preserve">Tamar Gzirishvili is </w:t>
                            </w:r>
                            <w:r w:rsidRPr="002558F6">
                              <w:rPr>
                                <w:color w:val="auto"/>
                                <w:lang w:val="en-GB"/>
                              </w:rPr>
                              <w:t xml:space="preserve">Local Government Program Coordinator at NDI Georgia. Within the framework of the program, Tamar works on strengthening cooperation between local government, civil society, and media in five partner municipalities. </w:t>
                            </w:r>
                            <w:r>
                              <w:rPr>
                                <w:color w:val="auto"/>
                                <w:lang w:val="en-GB"/>
                              </w:rPr>
                              <w:t>In the past,</w:t>
                            </w:r>
                            <w:r w:rsidRPr="002558F6">
                              <w:rPr>
                                <w:color w:val="auto"/>
                                <w:lang w:val="en-GB"/>
                              </w:rPr>
                              <w:t xml:space="preserve"> Tamar has worked in non-governmental sector on issues related to anti-corruption, budget transparency, public policy analysis, consumer rights protection, and financial literacy. Tamar has BA in Political Science and Philosophy from Clark University, and MA in Public Administration from Tbilisi State University.</w:t>
                            </w:r>
                          </w:p>
                          <w:p w:rsidR="00846D2A" w:rsidRDefault="00846D2A" w:rsidP="005E62C0"/>
                          <w:p w:rsidR="00846D2A" w:rsidRPr="00F32F73" w:rsidRDefault="00846D2A" w:rsidP="003F30AE">
                            <w:pPr>
                              <w:rPr>
                                <w:color w:val="auto"/>
                                <w:lang w:val="en-GB"/>
                              </w:rPr>
                            </w:pPr>
                            <w:r w:rsidRPr="00F32F73">
                              <w:rPr>
                                <w:color w:val="auto"/>
                                <w:lang w:val="en-GB"/>
                              </w:rPr>
                              <w:t>Mariam Sikharulidze is an independent researcher working on M</w:t>
                            </w:r>
                            <w:r>
                              <w:rPr>
                                <w:color w:val="auto"/>
                                <w:lang w:val="en-GB"/>
                              </w:rPr>
                              <w:t>onitoring and Evaluation (M&amp;E)</w:t>
                            </w:r>
                            <w:r w:rsidRPr="00F32F73">
                              <w:rPr>
                                <w:color w:val="auto"/>
                                <w:lang w:val="en-GB"/>
                              </w:rPr>
                              <w:t>, governance and development issues. Maria</w:t>
                            </w:r>
                            <w:r>
                              <w:rPr>
                                <w:color w:val="auto"/>
                                <w:lang w:val="en-GB"/>
                              </w:rPr>
                              <w:t>m has two Master's Degrees, including in Media Studies</w:t>
                            </w:r>
                            <w:r w:rsidRPr="00F32F73">
                              <w:rPr>
                                <w:color w:val="auto"/>
                                <w:lang w:val="en-GB"/>
                              </w:rPr>
                              <w:t xml:space="preserve"> from Erasmus University Rotte</w:t>
                            </w:r>
                            <w:r>
                              <w:rPr>
                                <w:color w:val="auto"/>
                                <w:lang w:val="en-GB"/>
                              </w:rPr>
                              <w:t>rdam, and in Education and Internati</w:t>
                            </w:r>
                            <w:r w:rsidRPr="00F32F73">
                              <w:rPr>
                                <w:color w:val="auto"/>
                                <w:lang w:val="en-GB"/>
                              </w:rPr>
                              <w:t xml:space="preserve">onal Development from University College London (UCL). </w:t>
                            </w:r>
                            <w:r>
                              <w:rPr>
                                <w:color w:val="auto"/>
                                <w:lang w:val="en-GB"/>
                              </w:rPr>
                              <w:t>Previously, she</w:t>
                            </w:r>
                            <w:r w:rsidRPr="00F32F73">
                              <w:rPr>
                                <w:color w:val="auto"/>
                                <w:lang w:val="en-GB"/>
                              </w:rPr>
                              <w:t xml:space="preserve"> worked in the United Nations Population Fund (UNFPA) and the Caucasus Research Resource Centre (CRRC-Geo</w:t>
                            </w:r>
                            <w:r>
                              <w:rPr>
                                <w:color w:val="auto"/>
                                <w:lang w:val="en-GB"/>
                              </w:rPr>
                              <w:t>rgia).The issues of her focus include</w:t>
                            </w:r>
                            <w:r w:rsidRPr="00F32F73">
                              <w:rPr>
                                <w:color w:val="auto"/>
                                <w:lang w:val="en-GB"/>
                              </w:rPr>
                              <w:t xml:space="preserve"> population and development, policy analysis, civ</w:t>
                            </w:r>
                            <w:r>
                              <w:rPr>
                                <w:color w:val="auto"/>
                                <w:lang w:val="en-GB"/>
                              </w:rPr>
                              <w:t xml:space="preserve">ic engagement, transparency, </w:t>
                            </w:r>
                            <w:r w:rsidRPr="00F32F73">
                              <w:rPr>
                                <w:color w:val="auto"/>
                                <w:lang w:val="en-GB"/>
                              </w:rPr>
                              <w:t>democratic governance.</w:t>
                            </w:r>
                            <w:r w:rsidRPr="00C21053">
                              <w:rPr>
                                <w:color w:val="auto"/>
                                <w:lang w:val="en-GB"/>
                              </w:rPr>
                              <w:t xml:space="preserve"> </w:t>
                            </w:r>
                            <w:r>
                              <w:rPr>
                                <w:color w:val="auto"/>
                                <w:lang w:val="en-GB"/>
                              </w:rPr>
                              <w:t>gender and youth.</w:t>
                            </w:r>
                          </w:p>
                          <w:p w:rsidR="00846D2A" w:rsidRDefault="00846D2A" w:rsidP="005E62C0"/>
                          <w:p w:rsidR="00846D2A" w:rsidRDefault="00846D2A" w:rsidP="005E62C0"/>
                          <w:p w:rsidR="00846D2A" w:rsidRPr="00875368" w:rsidRDefault="00846D2A" w:rsidP="005E62C0">
                            <w:pPr>
                              <w:rPr>
                                <w:rFonts w:cs="Arial"/>
                                <w:color w:val="1A1A1A"/>
                              </w:rPr>
                            </w:pPr>
                            <w:r w:rsidRPr="00875368">
                              <w:t xml:space="preserve">The Open Government Partnership (OGP) aims to secure concrete commitments from governments to promote transparency, </w:t>
                            </w:r>
                            <w:r>
                              <w:t xml:space="preserve">to </w:t>
                            </w:r>
                            <w:r w:rsidRPr="00875368">
                              <w:t xml:space="preserve">empower citizens, </w:t>
                            </w:r>
                            <w:r>
                              <w:t xml:space="preserve">to </w:t>
                            </w:r>
                            <w:r w:rsidRPr="00875368">
                              <w:t xml:space="preserve">fight corruption, and </w:t>
                            </w:r>
                            <w:r>
                              <w:t xml:space="preserve">to </w:t>
                            </w:r>
                            <w:r w:rsidRPr="00875368">
                              <w:t xml:space="preserve">harness new technologies to strengthen governance. OGP’s Independent Reporting Mechanism assesses development and implementation of national action plans to foster dialogue among stakeholders and </w:t>
                            </w:r>
                            <w:r>
                              <w:t xml:space="preserve">to </w:t>
                            </w:r>
                            <w:r w:rsidRPr="00875368">
                              <w:t>improve accountability.</w:t>
                            </w:r>
                          </w:p>
                          <w:p w:rsidR="00846D2A" w:rsidRDefault="00846D2A" w:rsidP="0060422D">
                            <w:pPr>
                              <w:ind w:right="285"/>
                              <w:jc w:val="both"/>
                              <w:rPr>
                                <w:rFonts w:eastAsia="Times New Roman" w:cs="Times New Roman"/>
                                <w:color w:val="000000"/>
                                <w:sz w:val="18"/>
                                <w:szCs w:val="17"/>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margin-left:-36pt;margin-top:1.8pt;width:488.5pt;height:42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U7vQIAAMAFAAAOAAAAZHJzL2Uyb0RvYy54bWysVE1v2zAMvQ/YfxB0X/0Rp42NOkXbNMOA&#10;bivaDTvLsmwLkyVNUuJ0v36UnLjpx2XDfDBEiXp8JJ94frHrBdoyY7mSJU5OYoyYpKrmsi3x92/r&#10;DwuMrCOyJkJJVuJHZvHF8v2780EXLFWdEjUzCECkLQZd4s45XUSRpR3riT1Rmkk4bJTpiQPTtFFt&#10;yADovYjSOD6NBmVqbRRl1sLuajzEy4DfNIy6r01jmUOixMDNhb8J/8r/o+U5KVpDdMfpngb5BxY9&#10;4RKCTlAr4gjaGP4KqufUKKsad0JVH6mm4ZSFHCCbJH6RzUNHNAu5QHGsnspk/x8s/bK9M4jXJU4x&#10;kqSHFt1D0YhsBUNJ4uszaFuA24O+Mz5Dq28V/WmRVNcduLFLY9TQMVIDq+AfPbvgDQtXUTV8VjXA&#10;k41ToVS7xvQeEIqAdqEjj1NH2M4hCpunaTzL59A4CmfzWZanWehZRIrDdW2s+8hUj/yixAbYB3iy&#10;vbUO6IPrwWXfoHrNhUBGuR/cdaHGnnk4tHBnXCCtIKE4bFvTVtfCoC0BFV2eXa1XN2MIoTsy7iZZ&#10;ni98tSDc3j2sW3sMl8T+e42ZrRfJ1epvMCFMeyAruETQCShQNuKPNEDVIVNPQEg0lDifp/MxuBJ8&#10;OnuWXTY/y6+mRI7deu7gpQrel3gxhSGF7/yNrCEkKRzhYlwDPSH9FgtvcF9VtQGIh64eUCU25p6A&#10;6k5ncygIqrnvXTrz1QEDHughlxd9eqN4gcy4T54aAlp5syETh9CeI3pBtl6po+Ldrtrt3wXk5lVc&#10;qfoRdAy6CWKFoQeLTpnfGA0wQEpsf22IYRiJTxKkkycZaBW5YEBZUzDM8Ul1fEIkBagSU2cwNNMb&#10;126cUxtteNtBrFGjUl3CC2p40PYTL0jHGzAmRt2NI83PoWM7eD0N3uUfAAAA//8DAFBLAwQUAAYA&#10;CAAAACEAs4iYw+AAAAAJAQAADwAAAGRycy9kb3ducmV2LnhtbEyPzU7DMBCE70i8g7VIXKrWpoRQ&#10;QjYVP+JSIUFLHsBNliQQr4PtNuHtMSc4jmY0802+nkwvjuR8ZxnhYqFAEFe27rhBKN+e5isQPmiu&#10;dW+ZEL7Jw7o4Pcl1VtuRt3TchUbEEvaZRmhDGDIpfdWS0X5hB+LovVtndIjSNbJ2eozlppdLpVJp&#10;dMdxodUDPbRUfe4OBmFzv/2wL25TVunscfx6fU6aWZkgnp9Nd7cgAk3hLwy/+BEdisi0tweuvegR&#10;5tfL+CUgXKYgon+jrqLeI6ySVIEscvn/QfEDAAD//wMAUEsBAi0AFAAGAAgAAAAhALaDOJL+AAAA&#10;4QEAABMAAAAAAAAAAAAAAAAAAAAAAFtDb250ZW50X1R5cGVzXS54bWxQSwECLQAUAAYACAAAACEA&#10;OP0h/9YAAACUAQAACwAAAAAAAAAAAAAAAAAvAQAAX3JlbHMvLnJlbHNQSwECLQAUAAYACAAAACEA&#10;aa7VO70CAADABQAADgAAAAAAAAAAAAAAAAAuAgAAZHJzL2Uyb0RvYy54bWxQSwECLQAUAAYACAAA&#10;ACEAs4iYw+AAAAAJAQAADwAAAAAAAAAAAAAAAAAXBQAAZHJzL2Rvd25yZXYueG1sUEsFBgAAAAAE&#10;AAQA8wAAACQGAAAAAA==&#10;" fillcolor="#a7bfde" strokecolor="#4579b8">
                <v:fill opacity="9829f" color2="#4f81bd" o:opacity2="9829f" rotate="t" focus="100%" type="gradient">
                  <o:fill v:ext="view" type="gradientUnscaled"/>
                </v:fill>
                <v:shadow on="t" color="black" opacity="22936f" origin=",.5" offset="0,.63889mm"/>
                <v:textbox>
                  <w:txbxContent>
                    <w:p w:rsidR="00846D2A" w:rsidRDefault="00846D2A" w:rsidP="005E62C0">
                      <w:pPr>
                        <w:rPr>
                          <w:color w:val="auto"/>
                        </w:rPr>
                      </w:pPr>
                      <w:r w:rsidRPr="001D2FF6">
                        <w:rPr>
                          <w:color w:val="auto"/>
                        </w:rPr>
                        <w:t xml:space="preserve">Lasha Gogidze </w:t>
                      </w:r>
                      <w:r>
                        <w:rPr>
                          <w:color w:val="auto"/>
                        </w:rPr>
                        <w:t>manages local government programs</w:t>
                      </w:r>
                      <w:r w:rsidRPr="001D2FF6">
                        <w:rPr>
                          <w:color w:val="auto"/>
                        </w:rPr>
                        <w:t xml:space="preserve"> at NDI Georgia Office. Lasha has more than 10 years of progressive work experience in democracy, good governance and human rights programming in Georgia.</w:t>
                      </w:r>
                      <w:r>
                        <w:rPr>
                          <w:color w:val="auto"/>
                        </w:rPr>
                        <w:t xml:space="preserve">. Lasha </w:t>
                      </w:r>
                      <w:r w:rsidRPr="001D2FF6">
                        <w:rPr>
                          <w:color w:val="auto"/>
                        </w:rPr>
                        <w:t>completed his Bachelor in International Law at Tbilisi State University and also two Masters Programs in International Relations and European Union Affairs at Central European University in Budapest and at College of Europe in Bruges.</w:t>
                      </w:r>
                      <w:r>
                        <w:rPr>
                          <w:color w:val="auto"/>
                        </w:rPr>
                        <w:t xml:space="preserve"> Currently, he is undertaking a Doctoral Program in Public Administration at Georgian Technical University. </w:t>
                      </w:r>
                    </w:p>
                    <w:p w:rsidR="00846D2A" w:rsidRDefault="00846D2A" w:rsidP="005E62C0">
                      <w:pPr>
                        <w:rPr>
                          <w:color w:val="auto"/>
                        </w:rPr>
                      </w:pPr>
                    </w:p>
                    <w:p w:rsidR="00846D2A" w:rsidRPr="002558F6" w:rsidRDefault="00846D2A" w:rsidP="005E62C0">
                      <w:pPr>
                        <w:rPr>
                          <w:color w:val="auto"/>
                          <w:lang w:val="en-GB"/>
                        </w:rPr>
                      </w:pPr>
                      <w:r>
                        <w:rPr>
                          <w:color w:val="auto"/>
                          <w:lang w:val="en-GB"/>
                        </w:rPr>
                        <w:t xml:space="preserve">Tamar Gzirishvili is </w:t>
                      </w:r>
                      <w:r w:rsidRPr="002558F6">
                        <w:rPr>
                          <w:color w:val="auto"/>
                          <w:lang w:val="en-GB"/>
                        </w:rPr>
                        <w:t xml:space="preserve">Local Government Program Coordinator at NDI Georgia. Within the framework of the program, Tamar works on strengthening cooperation between local government, civil society, and media in five partner municipalities. </w:t>
                      </w:r>
                      <w:r>
                        <w:rPr>
                          <w:color w:val="auto"/>
                          <w:lang w:val="en-GB"/>
                        </w:rPr>
                        <w:t>In the past,</w:t>
                      </w:r>
                      <w:r w:rsidRPr="002558F6">
                        <w:rPr>
                          <w:color w:val="auto"/>
                          <w:lang w:val="en-GB"/>
                        </w:rPr>
                        <w:t xml:space="preserve"> Tamar has worked in non-governmental sector on issues related to anti-corruption, budget transparency, public policy analysis, consumer rights protection, and financial literacy. Tamar has BA in Political Science and Philosophy from Clark University, and MA in Public Administration from Tbilisi State University.</w:t>
                      </w:r>
                    </w:p>
                    <w:p w:rsidR="00846D2A" w:rsidRDefault="00846D2A" w:rsidP="005E62C0"/>
                    <w:p w:rsidR="00846D2A" w:rsidRPr="00F32F73" w:rsidRDefault="00846D2A" w:rsidP="003F30AE">
                      <w:pPr>
                        <w:rPr>
                          <w:color w:val="auto"/>
                          <w:lang w:val="en-GB"/>
                        </w:rPr>
                      </w:pPr>
                      <w:r w:rsidRPr="00F32F73">
                        <w:rPr>
                          <w:color w:val="auto"/>
                          <w:lang w:val="en-GB"/>
                        </w:rPr>
                        <w:t>Mariam Sikharulidze is an independent researcher working on M</w:t>
                      </w:r>
                      <w:r>
                        <w:rPr>
                          <w:color w:val="auto"/>
                          <w:lang w:val="en-GB"/>
                        </w:rPr>
                        <w:t>onitoring and Evaluation (M&amp;E)</w:t>
                      </w:r>
                      <w:r w:rsidRPr="00F32F73">
                        <w:rPr>
                          <w:color w:val="auto"/>
                          <w:lang w:val="en-GB"/>
                        </w:rPr>
                        <w:t>, governance and development issues. Maria</w:t>
                      </w:r>
                      <w:r>
                        <w:rPr>
                          <w:color w:val="auto"/>
                          <w:lang w:val="en-GB"/>
                        </w:rPr>
                        <w:t>m has two Master's Degrees, including in Media Studies</w:t>
                      </w:r>
                      <w:r w:rsidRPr="00F32F73">
                        <w:rPr>
                          <w:color w:val="auto"/>
                          <w:lang w:val="en-GB"/>
                        </w:rPr>
                        <w:t xml:space="preserve"> from Erasmus University Rotte</w:t>
                      </w:r>
                      <w:r>
                        <w:rPr>
                          <w:color w:val="auto"/>
                          <w:lang w:val="en-GB"/>
                        </w:rPr>
                        <w:t>rdam, and in Education and Internati</w:t>
                      </w:r>
                      <w:r w:rsidRPr="00F32F73">
                        <w:rPr>
                          <w:color w:val="auto"/>
                          <w:lang w:val="en-GB"/>
                        </w:rPr>
                        <w:t xml:space="preserve">onal Development from University College London (UCL). </w:t>
                      </w:r>
                      <w:r>
                        <w:rPr>
                          <w:color w:val="auto"/>
                          <w:lang w:val="en-GB"/>
                        </w:rPr>
                        <w:t>Previously, she</w:t>
                      </w:r>
                      <w:r w:rsidRPr="00F32F73">
                        <w:rPr>
                          <w:color w:val="auto"/>
                          <w:lang w:val="en-GB"/>
                        </w:rPr>
                        <w:t xml:space="preserve"> worked in the United Nations Population Fund (UNFPA) and the Caucasus Research Resource Centre (CRRC-Geo</w:t>
                      </w:r>
                      <w:r>
                        <w:rPr>
                          <w:color w:val="auto"/>
                          <w:lang w:val="en-GB"/>
                        </w:rPr>
                        <w:t>rgia).The issues of her focus include</w:t>
                      </w:r>
                      <w:r w:rsidRPr="00F32F73">
                        <w:rPr>
                          <w:color w:val="auto"/>
                          <w:lang w:val="en-GB"/>
                        </w:rPr>
                        <w:t xml:space="preserve"> population and development, policy analysis, civ</w:t>
                      </w:r>
                      <w:r>
                        <w:rPr>
                          <w:color w:val="auto"/>
                          <w:lang w:val="en-GB"/>
                        </w:rPr>
                        <w:t xml:space="preserve">ic engagement, transparency, </w:t>
                      </w:r>
                      <w:r w:rsidRPr="00F32F73">
                        <w:rPr>
                          <w:color w:val="auto"/>
                          <w:lang w:val="en-GB"/>
                        </w:rPr>
                        <w:t>democratic governance.</w:t>
                      </w:r>
                      <w:r w:rsidRPr="00C21053">
                        <w:rPr>
                          <w:color w:val="auto"/>
                          <w:lang w:val="en-GB"/>
                        </w:rPr>
                        <w:t xml:space="preserve"> </w:t>
                      </w:r>
                      <w:r>
                        <w:rPr>
                          <w:color w:val="auto"/>
                          <w:lang w:val="en-GB"/>
                        </w:rPr>
                        <w:t>gender and youth.</w:t>
                      </w:r>
                    </w:p>
                    <w:p w:rsidR="00846D2A" w:rsidRDefault="00846D2A" w:rsidP="005E62C0"/>
                    <w:p w:rsidR="00846D2A" w:rsidRDefault="00846D2A" w:rsidP="005E62C0"/>
                    <w:p w:rsidR="00846D2A" w:rsidRPr="00875368" w:rsidRDefault="00846D2A" w:rsidP="005E62C0">
                      <w:pPr>
                        <w:rPr>
                          <w:rFonts w:cs="Arial"/>
                          <w:color w:val="1A1A1A"/>
                        </w:rPr>
                      </w:pPr>
                      <w:r w:rsidRPr="00875368">
                        <w:t xml:space="preserve">The Open Government Partnership (OGP) aims to secure concrete commitments from governments to promote transparency, </w:t>
                      </w:r>
                      <w:r>
                        <w:t xml:space="preserve">to </w:t>
                      </w:r>
                      <w:r w:rsidRPr="00875368">
                        <w:t xml:space="preserve">empower citizens, </w:t>
                      </w:r>
                      <w:r>
                        <w:t xml:space="preserve">to </w:t>
                      </w:r>
                      <w:r w:rsidRPr="00875368">
                        <w:t xml:space="preserve">fight corruption, and </w:t>
                      </w:r>
                      <w:r>
                        <w:t xml:space="preserve">to </w:t>
                      </w:r>
                      <w:r w:rsidRPr="00875368">
                        <w:t xml:space="preserve">harness new technologies to strengthen governance. OGP’s Independent Reporting Mechanism assesses development and implementation of national action plans to foster dialogue among stakeholders and </w:t>
                      </w:r>
                      <w:r>
                        <w:t xml:space="preserve">to </w:t>
                      </w:r>
                      <w:r w:rsidRPr="00875368">
                        <w:t>improve accountability.</w:t>
                      </w:r>
                    </w:p>
                    <w:p w:rsidR="00846D2A" w:rsidRDefault="00846D2A" w:rsidP="0060422D">
                      <w:pPr>
                        <w:ind w:right="285"/>
                        <w:jc w:val="both"/>
                        <w:rPr>
                          <w:rFonts w:eastAsia="Times New Roman" w:cs="Times New Roman"/>
                          <w:color w:val="000000"/>
                          <w:sz w:val="18"/>
                          <w:szCs w:val="17"/>
                        </w:rPr>
                      </w:pPr>
                    </w:p>
                  </w:txbxContent>
                </v:textbox>
                <w10:wrap type="tight"/>
              </v:rect>
            </w:pict>
          </mc:Fallback>
        </mc:AlternateContent>
      </w:r>
    </w:p>
    <w:p w:rsidR="0060422D" w:rsidRPr="004B1C12" w:rsidRDefault="0060422D" w:rsidP="00B0395A">
      <w:pPr>
        <w:pStyle w:val="Normalrglronly"/>
      </w:pPr>
    </w:p>
    <w:p w:rsidR="0060422D" w:rsidRPr="004B1C12" w:rsidRDefault="0060422D" w:rsidP="00B0395A">
      <w:pPr>
        <w:pStyle w:val="Normalrglronly"/>
      </w:pPr>
    </w:p>
    <w:p w:rsidR="008E3268" w:rsidRPr="004B1C12" w:rsidRDefault="008E3268" w:rsidP="00B0395A">
      <w:pPr>
        <w:pStyle w:val="Normalrglronly"/>
      </w:pPr>
    </w:p>
    <w:sectPr w:rsidR="008E3268" w:rsidRPr="004B1C12" w:rsidSect="00C4609C">
      <w:footnotePr>
        <w:numRestart w:val="eachSect"/>
      </w:footnotePr>
      <w:endnotePr>
        <w:numFmt w:val="decimal"/>
        <w:numRestart w:val="eachSect"/>
      </w:endnotePr>
      <w:pgSz w:w="11907" w:h="16839" w:code="9"/>
      <w:pgMar w:top="1417" w:right="1417" w:bottom="1417" w:left="1417" w:header="0"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Ketevan Goginashvili" w:date="2019-05-10T12:45:00Z" w:initials="KG">
    <w:p w:rsidR="00846D2A" w:rsidRDefault="00846D2A">
      <w:pPr>
        <w:pStyle w:val="CommentText"/>
      </w:pPr>
      <w:r>
        <w:rPr>
          <w:rStyle w:val="CommentReference"/>
        </w:rPr>
        <w:annotationRef/>
      </w:r>
      <w:r>
        <w:t xml:space="preserve">?? Why is unclear </w:t>
      </w:r>
      <w:r w:rsidRPr="00846D2A">
        <w:t>OGP Value Relevance</w:t>
      </w:r>
      <w:r>
        <w:t>?</w:t>
      </w:r>
    </w:p>
  </w:comment>
  <w:comment w:id="4" w:author="Ketevan Goginashvili" w:date="2019-05-10T12:55:00Z" w:initials="KG">
    <w:p w:rsidR="00993716" w:rsidRDefault="00993716">
      <w:pPr>
        <w:pStyle w:val="CommentText"/>
      </w:pPr>
      <w:r>
        <w:rPr>
          <w:rStyle w:val="CommentReference"/>
        </w:rPr>
        <w:annotationRef/>
      </w:r>
      <w:r>
        <w:t>End of term project was completed</w:t>
      </w:r>
    </w:p>
  </w:comment>
  <w:comment w:id="15" w:author="Ketevan Goginashvili" w:date="2019-05-10T12:57:00Z" w:initials="KG">
    <w:p w:rsidR="00993716" w:rsidRDefault="00993716">
      <w:pPr>
        <w:pStyle w:val="CommentText"/>
      </w:pPr>
      <w:r>
        <w:rPr>
          <w:rStyle w:val="CommentReference"/>
        </w:rPr>
        <w:annotationRef/>
      </w:r>
      <w:r>
        <w:t>???</w:t>
      </w:r>
    </w:p>
  </w:comment>
  <w:comment w:id="16" w:author="Ketevan Goginashvili" w:date="2019-05-10T12:57:00Z" w:initials="KG">
    <w:p w:rsidR="00993716" w:rsidRDefault="00993716">
      <w:pPr>
        <w:pStyle w:val="CommentText"/>
      </w:pPr>
      <w:r>
        <w:rPr>
          <w:rStyle w:val="CommentReference"/>
        </w:rPr>
        <w:annotationRef/>
      </w:r>
      <w:r>
        <w:t>End of term project was completed</w:t>
      </w:r>
    </w:p>
  </w:comment>
  <w:comment w:id="17" w:author="Ketevan Goginashvili" w:date="2019-05-10T12:59:00Z" w:initials="KG">
    <w:p w:rsidR="00993716" w:rsidRDefault="00993716">
      <w:pPr>
        <w:pStyle w:val="CommentText"/>
      </w:pPr>
      <w:r>
        <w:rPr>
          <w:rStyle w:val="CommentReference"/>
        </w:rPr>
        <w:annotationRef/>
      </w:r>
      <w:hyperlink r:id="rId1" w:history="1">
        <w:r w:rsidRPr="0048345B">
          <w:rPr>
            <w:rStyle w:val="Hyperlink"/>
          </w:rPr>
          <w:t>www.clouds</w:t>
        </w:r>
      </w:hyperlink>
      <w:r>
        <w:t>.moh.gov.ge</w:t>
      </w:r>
    </w:p>
  </w:comment>
  <w:comment w:id="18" w:author="Ketevan Goginashvili" w:date="2019-05-10T12:59:00Z" w:initials="KG">
    <w:p w:rsidR="00993716" w:rsidRDefault="00993716">
      <w:pPr>
        <w:pStyle w:val="CommentText"/>
      </w:pPr>
      <w:r>
        <w:rPr>
          <w:rStyle w:val="CommentReference"/>
        </w:rPr>
        <w:annotationRef/>
      </w:r>
      <w:r>
        <w:t>HER imp0lementaion was started from 2019</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E72" w:rsidRDefault="008C7E72" w:rsidP="008F072B">
      <w:r>
        <w:separator/>
      </w:r>
    </w:p>
  </w:endnote>
  <w:endnote w:type="continuationSeparator" w:id="0">
    <w:p w:rsidR="008C7E72" w:rsidRDefault="008C7E72" w:rsidP="008F072B">
      <w:r>
        <w:continuationSeparator/>
      </w:r>
    </w:p>
  </w:endnote>
  <w:endnote w:type="continuationNotice" w:id="1">
    <w:p w:rsidR="008C7E72" w:rsidRDefault="008C7E72"/>
  </w:endnote>
  <w:endnote w:id="2">
    <w:p w:rsidR="00846D2A" w:rsidRPr="0096385D" w:rsidRDefault="00846D2A" w:rsidP="00EA64D5">
      <w:pPr>
        <w:pStyle w:val="EndnoteText"/>
        <w:rPr>
          <w:rFonts w:ascii="Gill Sans" w:hAnsi="Gill Sans"/>
        </w:rPr>
      </w:pPr>
      <w:r w:rsidRPr="0096385D">
        <w:rPr>
          <w:rStyle w:val="EndnoteReference"/>
          <w:rFonts w:ascii="Gill Sans" w:hAnsi="Gill Sans" w:hint="cs"/>
        </w:rPr>
        <w:endnoteRef/>
      </w:r>
      <w:r w:rsidRPr="0096385D">
        <w:rPr>
          <w:rFonts w:ascii="Gill Sans" w:hAnsi="Gill Sans" w:hint="cs"/>
        </w:rPr>
        <w:t xml:space="preserve"> Georgia Action Plan 2018-2019, </w:t>
      </w:r>
      <w:hyperlink r:id="rId1" w:history="1">
        <w:r w:rsidRPr="0096385D">
          <w:rPr>
            <w:rFonts w:ascii="Gill Sans" w:hAnsi="Gill Sans" w:hint="cs"/>
          </w:rPr>
          <w:t>https://www.opengovpartnership.org/documents/georgia-action-plan-2018-2019</w:t>
        </w:r>
      </w:hyperlink>
      <w:r w:rsidRPr="0096385D">
        <w:rPr>
          <w:rFonts w:ascii="Gill Sans" w:hAnsi="Gill Sans" w:hint="cs"/>
        </w:rPr>
        <w:t xml:space="preserve"> </w:t>
      </w:r>
    </w:p>
  </w:endnote>
  <w:endnote w:id="3">
    <w:p w:rsidR="00846D2A" w:rsidRPr="00C82219" w:rsidRDefault="00846D2A" w:rsidP="00EA64D5">
      <w:pPr>
        <w:pStyle w:val="EndnoteText"/>
      </w:pPr>
      <w:r w:rsidRPr="00C82219">
        <w:rPr>
          <w:rStyle w:val="EndnoteReference"/>
          <w:rFonts w:ascii="Gill Sans" w:hAnsi="Gill Sans"/>
          <w:szCs w:val="18"/>
        </w:rPr>
        <w:endnoteRef/>
      </w:r>
      <w:r w:rsidRPr="00C82219">
        <w:t xml:space="preserve"> Levan Avalishvii, Programs Director, and Saba Buadze, Anti-Corruption Direction Head, interview with IRM researchers, August 22, 2018.</w:t>
      </w:r>
    </w:p>
  </w:endnote>
  <w:endnote w:id="4">
    <w:p w:rsidR="00846D2A" w:rsidRPr="00C82219" w:rsidRDefault="00846D2A" w:rsidP="00EA64D5">
      <w:pPr>
        <w:pStyle w:val="EndnoteText"/>
      </w:pPr>
      <w:r w:rsidRPr="00C82219">
        <w:rPr>
          <w:rStyle w:val="EndnoteReference"/>
          <w:rFonts w:ascii="Gill Sans" w:hAnsi="Gill Sans"/>
          <w:szCs w:val="18"/>
        </w:rPr>
        <w:endnoteRef/>
      </w:r>
      <w:r w:rsidRPr="00C82219">
        <w:t xml:space="preserve"> Avalishvili and Buadze, August 2018.</w:t>
      </w:r>
    </w:p>
  </w:endnote>
  <w:endnote w:id="5">
    <w:p w:rsidR="00846D2A" w:rsidRPr="00C82219" w:rsidRDefault="00846D2A" w:rsidP="00EA64D5">
      <w:pPr>
        <w:pStyle w:val="EndnoteText"/>
      </w:pPr>
      <w:r w:rsidRPr="00C82219">
        <w:rPr>
          <w:rStyle w:val="EndnoteReference"/>
          <w:rFonts w:ascii="Gill Sans" w:hAnsi="Gill Sans"/>
          <w:szCs w:val="18"/>
        </w:rPr>
        <w:endnoteRef/>
      </w:r>
      <w:r w:rsidRPr="00C82219">
        <w:t xml:space="preserve"> George Topouria, Senior Analyst, Transparency International Georgia, August 23, 2018. </w:t>
      </w:r>
    </w:p>
  </w:endnote>
  <w:endnote w:id="6">
    <w:p w:rsidR="00846D2A" w:rsidRPr="00F50D73" w:rsidRDefault="00846D2A" w:rsidP="00EA64D5">
      <w:pPr>
        <w:pStyle w:val="EndnoteText"/>
      </w:pPr>
      <w:r>
        <w:rPr>
          <w:rStyle w:val="EndnoteReference"/>
        </w:rPr>
        <w:endnoteRef/>
      </w:r>
      <w:r>
        <w:t xml:space="preserve"> </w:t>
      </w:r>
      <w:r w:rsidRPr="00F50D73">
        <w:t>Feedback received from TI and IDFI</w:t>
      </w:r>
      <w:r>
        <w:t>, August 2018</w:t>
      </w:r>
    </w:p>
  </w:endnote>
  <w:endnote w:id="7">
    <w:p w:rsidR="00846D2A" w:rsidRPr="002C23FE" w:rsidRDefault="00846D2A" w:rsidP="00EA64D5">
      <w:pPr>
        <w:pStyle w:val="EndnoteText"/>
      </w:pPr>
      <w:r w:rsidRPr="002C23FE">
        <w:rPr>
          <w:rStyle w:val="EndnoteReference"/>
          <w:rFonts w:ascii="Gill Sans" w:hAnsi="Gill Sans"/>
          <w:szCs w:val="18"/>
        </w:rPr>
        <w:endnoteRef/>
      </w:r>
      <w:r w:rsidRPr="002C23FE">
        <w:t>http://c.ymcdn.com/sites/www.iap2.org/resource/resmgr/foundations_course/IAP2_P2_Spectrum_FINAL.pdf</w:t>
      </w:r>
    </w:p>
  </w:endnote>
  <w:endnote w:id="8">
    <w:p w:rsidR="00846D2A" w:rsidRPr="00C82219" w:rsidRDefault="00846D2A" w:rsidP="00EA64D5">
      <w:pPr>
        <w:pStyle w:val="EndnoteText"/>
      </w:pPr>
      <w:r w:rsidRPr="00C82219">
        <w:rPr>
          <w:rStyle w:val="EndnoteReference"/>
          <w:rFonts w:ascii="Gill Sans" w:hAnsi="Gill Sans"/>
          <w:szCs w:val="18"/>
        </w:rPr>
        <w:endnoteRef/>
      </w:r>
      <w:r w:rsidRPr="00C82219">
        <w:t xml:space="preserve"> IRM Procedures Manual, </w:t>
      </w:r>
      <w:hyperlink r:id="rId2">
        <w:r w:rsidRPr="00C82219">
          <w:t>http://www.opengovpartnership.org/about/about-irm</w:t>
        </w:r>
      </w:hyperlink>
      <w:r w:rsidRPr="00C82219">
        <w:t>.</w:t>
      </w:r>
    </w:p>
  </w:endnote>
  <w:endnote w:id="9">
    <w:p w:rsidR="00846D2A" w:rsidRPr="00C82219" w:rsidRDefault="00846D2A" w:rsidP="00EA64D5">
      <w:pPr>
        <w:pStyle w:val="EndnoteText"/>
      </w:pPr>
      <w:r w:rsidRPr="00C82219">
        <w:rPr>
          <w:rStyle w:val="EndnoteReference"/>
          <w:rFonts w:ascii="Gill Sans" w:hAnsi="Gill Sans"/>
          <w:szCs w:val="18"/>
        </w:rPr>
        <w:endnoteRef/>
      </w:r>
      <w:r w:rsidRPr="00C82219">
        <w:rPr>
          <w:rStyle w:val="EndnoteReference"/>
          <w:rFonts w:ascii="Gill Sans" w:hAnsi="Gill Sans"/>
          <w:szCs w:val="18"/>
        </w:rPr>
        <w:t xml:space="preserve"> </w:t>
      </w:r>
      <w:r w:rsidRPr="00C82219">
        <w:rPr>
          <w:rStyle w:val="EndnoteReference"/>
          <w:rFonts w:ascii="Gill Sans" w:hAnsi="Gill Sans"/>
          <w:szCs w:val="18"/>
          <w:vertAlign w:val="baseline"/>
        </w:rPr>
        <w:t xml:space="preserve">The International Experts Panel changed this criterion in 2015. For more information, visit </w:t>
      </w:r>
      <w:hyperlink r:id="rId3" w:history="1">
        <w:r w:rsidRPr="00C82219">
          <w:rPr>
            <w:rStyle w:val="EndnoteReference"/>
            <w:rFonts w:ascii="Gill Sans" w:hAnsi="Gill Sans"/>
            <w:szCs w:val="18"/>
            <w:vertAlign w:val="baseline"/>
          </w:rPr>
          <w:t>http://www.opengovpartnership.org/node/5919</w:t>
        </w:r>
      </w:hyperlink>
      <w:r w:rsidRPr="00C82219">
        <w:t>.</w:t>
      </w:r>
    </w:p>
  </w:endnote>
  <w:endnote w:id="10">
    <w:p w:rsidR="00846D2A" w:rsidRPr="00957C1A" w:rsidRDefault="00846D2A" w:rsidP="00EA64D5">
      <w:pPr>
        <w:pStyle w:val="EndnoteText"/>
        <w:rPr>
          <w:rFonts w:ascii="Gill Sans" w:hAnsi="Gill Sans"/>
        </w:rPr>
      </w:pPr>
      <w:r w:rsidRPr="00957C1A">
        <w:rPr>
          <w:rStyle w:val="EndnoteReference"/>
          <w:rFonts w:ascii="Gill Sans" w:hAnsi="Gill Sans" w:hint="cs"/>
          <w:szCs w:val="18"/>
        </w:rPr>
        <w:endnoteRef/>
      </w:r>
      <w:r w:rsidRPr="00957C1A">
        <w:rPr>
          <w:rFonts w:ascii="Gill Sans" w:hAnsi="Gill Sans" w:hint="cs"/>
        </w:rPr>
        <w:t xml:space="preserve"> OGP IRM Midterm Report 2017, https://bit.ly/2NIr097</w:t>
      </w:r>
    </w:p>
  </w:endnote>
  <w:endnote w:id="11">
    <w:p w:rsidR="00846D2A" w:rsidRPr="00957C1A" w:rsidRDefault="00846D2A" w:rsidP="00EA64D5">
      <w:pPr>
        <w:pStyle w:val="EndnoteText"/>
        <w:rPr>
          <w:rFonts w:ascii="Gill Sans" w:hAnsi="Gill Sans"/>
        </w:rPr>
      </w:pPr>
      <w:r w:rsidRPr="00957C1A">
        <w:rPr>
          <w:rStyle w:val="EndnoteReference"/>
          <w:rFonts w:ascii="Gill Sans" w:hAnsi="Gill Sans" w:hint="cs"/>
          <w:szCs w:val="18"/>
        </w:rPr>
        <w:endnoteRef/>
      </w:r>
      <w:r w:rsidRPr="00957C1A">
        <w:rPr>
          <w:rFonts w:ascii="Gill Sans" w:hAnsi="Gill Sans" w:hint="cs"/>
        </w:rPr>
        <w:t xml:space="preserve"> Ani Gigineishvili, Head of Marketing and Service Development Department, Tbilisi Public Service Hall, IRM phone interview, 8 October 2018</w:t>
      </w:r>
    </w:p>
  </w:endnote>
  <w:endnote w:id="12">
    <w:p w:rsidR="00846D2A" w:rsidRPr="002C23FE" w:rsidRDefault="00846D2A" w:rsidP="00EA64D5">
      <w:pPr>
        <w:pStyle w:val="EndnoteText"/>
      </w:pPr>
      <w:r w:rsidRPr="00957C1A">
        <w:rPr>
          <w:rStyle w:val="EndnoteReference"/>
          <w:rFonts w:ascii="Gill Sans" w:hAnsi="Gill Sans" w:hint="cs"/>
          <w:szCs w:val="18"/>
        </w:rPr>
        <w:endnoteRef/>
      </w:r>
      <w:r w:rsidRPr="00957C1A">
        <w:rPr>
          <w:rFonts w:ascii="Gill Sans" w:hAnsi="Gill Sans" w:hint="cs"/>
        </w:rPr>
        <w:t xml:space="preserve"> New NAP for 2018-2019 has been adopted. Approval through Government Decree is pending as of September 2018</w:t>
      </w:r>
    </w:p>
  </w:endnote>
  <w:endnote w:id="13">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OGP IRM Midterm Report 2017, https://bit.ly/2NIr097</w:t>
      </w:r>
    </w:p>
  </w:endnote>
  <w:endnote w:id="14">
    <w:p w:rsidR="00846D2A" w:rsidRPr="00FE412C" w:rsidRDefault="00846D2A" w:rsidP="002C23FE">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FE412C">
        <w:rPr>
          <w:rStyle w:val="EndnoteReference"/>
          <w:rFonts w:hint="cs"/>
          <w:sz w:val="18"/>
          <w:szCs w:val="18"/>
        </w:rPr>
        <w:endnoteRef/>
      </w:r>
      <w:r w:rsidRPr="00FE412C">
        <w:rPr>
          <w:rFonts w:hint="cs"/>
          <w:sz w:val="18"/>
          <w:szCs w:val="18"/>
        </w:rPr>
        <w:t xml:space="preserve"> Ketevan Goginashvili, Head of Staff of the MoLHSA, phone interview with IRM researcher, 28 August 2018</w:t>
      </w:r>
    </w:p>
  </w:endnote>
  <w:endnote w:id="15">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Mikheil Darchiashvili, Governance Program Manager, Levan Samadashvili, Chief of Party, Tetra Tech ARD, interview with IRM researcher, 17 October 2018</w:t>
      </w:r>
    </w:p>
  </w:endnote>
  <w:endnote w:id="16">
    <w:p w:rsidR="00846D2A" w:rsidRPr="00EA64D5" w:rsidRDefault="00846D2A" w:rsidP="00EA64D5">
      <w:pPr>
        <w:pStyle w:val="EndnoteText"/>
      </w:pPr>
      <w:r w:rsidRPr="00FE412C">
        <w:rPr>
          <w:rStyle w:val="EndnoteReference"/>
          <w:rFonts w:ascii="Gill Sans" w:hAnsi="Gill Sans" w:hint="cs"/>
          <w:szCs w:val="18"/>
        </w:rPr>
        <w:endnoteRef/>
      </w:r>
      <w:r w:rsidRPr="00FE412C">
        <w:rPr>
          <w:rFonts w:ascii="Gill Sans" w:hAnsi="Gill Sans" w:hint="cs"/>
        </w:rPr>
        <w:t xml:space="preserve"> IRM researcher tested the portal on October 5, 2018 (http://citizen.moh.gov.ge/CitizenPortal/Home/Main).  Website accessed at 4:11pm Georgia time. Researcher posed a question and did not get a response as of February 7, 2019.</w:t>
      </w:r>
    </w:p>
  </w:endnote>
  <w:endnote w:id="17">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Amendment to the Law of Georgia on the Structure, Competences, and Work of Georgian Government, Article 2, https://bit.ly/2xUs0fw</w:t>
      </w:r>
    </w:p>
  </w:endnote>
  <w:endnote w:id="18">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Elene Kemashvili, National Agency of Mineral Resources, email correspondence with IRM researcher, 24 August 2018</w:t>
      </w:r>
    </w:p>
  </w:endnote>
  <w:endnote w:id="19">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National Agency of Mineral Resources, Geology Fund Catalogue, </w:t>
      </w:r>
      <w:hyperlink r:id="rId4" w:history="1">
        <w:r w:rsidRPr="00FE412C">
          <w:rPr>
            <w:rStyle w:val="Hyperlink"/>
            <w:rFonts w:ascii="Gill Sans" w:hAnsi="Gill Sans" w:hint="cs"/>
            <w:szCs w:val="18"/>
          </w:rPr>
          <w:t>https://bit.ly/2DB8lHk</w:t>
        </w:r>
      </w:hyperlink>
      <w:r w:rsidRPr="00FE412C">
        <w:rPr>
          <w:rFonts w:ascii="Gill Sans" w:hAnsi="Gill Sans" w:hint="cs"/>
        </w:rPr>
        <w:t xml:space="preserve"> </w:t>
      </w:r>
    </w:p>
  </w:endnote>
  <w:endnote w:id="20">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National Agency of Mineral Resources, </w:t>
      </w:r>
      <w:hyperlink r:id="rId5" w:history="1">
        <w:r w:rsidRPr="00FE412C">
          <w:rPr>
            <w:rStyle w:val="Hyperlink"/>
            <w:rFonts w:ascii="Gill Sans" w:hAnsi="Gill Sans" w:hint="cs"/>
            <w:szCs w:val="18"/>
          </w:rPr>
          <w:t>https://www.facebook.com/nationalagencyofmines/</w:t>
        </w:r>
      </w:hyperlink>
      <w:r w:rsidRPr="00FE412C">
        <w:rPr>
          <w:rFonts w:ascii="Gill Sans" w:hAnsi="Gill Sans" w:hint="cs"/>
        </w:rPr>
        <w:t xml:space="preserve"> </w:t>
      </w:r>
    </w:p>
  </w:endnote>
  <w:endnote w:id="21">
    <w:p w:rsidR="00846D2A" w:rsidRDefault="00846D2A" w:rsidP="00EA64D5">
      <w:pPr>
        <w:pStyle w:val="EndnoteText"/>
      </w:pPr>
      <w:r w:rsidRPr="00FE412C">
        <w:rPr>
          <w:rStyle w:val="EndnoteReference"/>
          <w:rFonts w:ascii="Gill Sans" w:hAnsi="Gill Sans" w:hint="cs"/>
        </w:rPr>
        <w:endnoteRef/>
      </w:r>
      <w:r w:rsidRPr="00FE412C">
        <w:rPr>
          <w:rFonts w:ascii="Gill Sans" w:hAnsi="Gill Sans" w:hint="cs"/>
        </w:rPr>
        <w:t xml:space="preserve"> OGP IRM Midterm Report 2017, https://bit.ly/2NIr097</w:t>
      </w:r>
    </w:p>
  </w:endnote>
  <w:endnote w:id="22">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Amendment to the Law of Georgia on the Structure, Competences, and Work of Georgian Government, Article 2, https://bit.ly/2xUs0fw</w:t>
      </w:r>
    </w:p>
  </w:endnote>
  <w:endnote w:id="23">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Tamar Sabelashvili, Ministry of Economy and Sustainable Development, interview with IRM researcher, 27 September 2018</w:t>
      </w:r>
    </w:p>
  </w:endnote>
  <w:endnote w:id="24">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Georgian Oil and Gas Corporation, </w:t>
      </w:r>
      <w:hyperlink r:id="rId6" w:history="1">
        <w:r w:rsidRPr="00FE412C">
          <w:rPr>
            <w:rStyle w:val="Hyperlink"/>
            <w:rFonts w:ascii="Gill Sans" w:hAnsi="Gill Sans" w:hint="cs"/>
            <w:szCs w:val="18"/>
          </w:rPr>
          <w:t>https://bit.ly/2R3VOz3</w:t>
        </w:r>
      </w:hyperlink>
      <w:r w:rsidRPr="00FE412C">
        <w:rPr>
          <w:rFonts w:ascii="Gill Sans" w:hAnsi="Gill Sans" w:hint="cs"/>
        </w:rPr>
        <w:t xml:space="preserve"> </w:t>
      </w:r>
    </w:p>
  </w:endnote>
  <w:endnote w:id="25">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Ministry of Energy, </w:t>
      </w:r>
      <w:hyperlink r:id="rId7" w:history="1">
        <w:r w:rsidRPr="00FE412C">
          <w:rPr>
            <w:rStyle w:val="Hyperlink"/>
            <w:rFonts w:ascii="Gill Sans" w:hAnsi="Gill Sans" w:hint="cs"/>
            <w:szCs w:val="18"/>
          </w:rPr>
          <w:t>https://bit.ly/2ImC1GV</w:t>
        </w:r>
      </w:hyperlink>
      <w:r w:rsidRPr="00FE412C">
        <w:rPr>
          <w:rFonts w:ascii="Gill Sans" w:hAnsi="Gill Sans" w:hint="cs"/>
        </w:rPr>
        <w:t xml:space="preserve"> </w:t>
      </w:r>
    </w:p>
  </w:endnote>
  <w:endnote w:id="26">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Mariam Lashkhi, Head of International Relations Department, and Ana Gugushvili, Senior Adviser to the Head of International Relations Department, Innovation and Technology Agency, email correspondence with IRM researcher, 23 August 2018</w:t>
      </w:r>
    </w:p>
  </w:endnote>
  <w:endnote w:id="27">
    <w:p w:rsidR="00846D2A" w:rsidRPr="002C23FE" w:rsidRDefault="00846D2A" w:rsidP="00EA64D5">
      <w:pPr>
        <w:pStyle w:val="EndnoteText"/>
      </w:pPr>
      <w:r w:rsidRPr="00FE412C">
        <w:rPr>
          <w:rStyle w:val="EndnoteReference"/>
          <w:rFonts w:ascii="Gill Sans" w:hAnsi="Gill Sans" w:hint="cs"/>
          <w:szCs w:val="18"/>
        </w:rPr>
        <w:endnoteRef/>
      </w:r>
      <w:r w:rsidRPr="00FE412C">
        <w:rPr>
          <w:rFonts w:ascii="Gill Sans" w:hAnsi="Gill Sans" w:hint="cs"/>
        </w:rPr>
        <w:t xml:space="preserve"> Ana Gugushvili, Senior Adviser to the Head of International Relations Department at Innovation and Technology Agency, interview with IRM researcher, 22 August 2018</w:t>
      </w:r>
      <w:r>
        <w:t xml:space="preserve"> </w:t>
      </w:r>
    </w:p>
  </w:endnote>
  <w:endnote w:id="28">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OGP IRM Midterm Report 2017, https://bit.ly/2NIr097</w:t>
      </w:r>
    </w:p>
  </w:endnote>
  <w:endnote w:id="29">
    <w:p w:rsidR="00846D2A" w:rsidRPr="002C23FE" w:rsidRDefault="00846D2A" w:rsidP="00EA64D5">
      <w:pPr>
        <w:pStyle w:val="EndnoteText"/>
      </w:pPr>
      <w:r w:rsidRPr="00FE412C">
        <w:rPr>
          <w:rStyle w:val="EndnoteReference"/>
          <w:rFonts w:ascii="Gill Sans" w:hAnsi="Gill Sans" w:hint="cs"/>
          <w:szCs w:val="18"/>
        </w:rPr>
        <w:endnoteRef/>
      </w:r>
      <w:r w:rsidRPr="00FE412C">
        <w:rPr>
          <w:rFonts w:ascii="Gill Sans" w:hAnsi="Gill Sans" w:hint="cs"/>
        </w:rPr>
        <w:t xml:space="preserve"> Maka Mikaberidze, Head of Planning and Control Unit of the Strategic Development Department, National Agency of State Property, phone interview with IRM researcher, 12 October 2018</w:t>
      </w:r>
    </w:p>
  </w:endnote>
  <w:endnote w:id="30">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Zurab Sanikidze, Head of the Analytical Department of the Ministry of Justice of Georgia, and Ketevan Tsanava, National Coordinator of OGP, Ministry of Justice, interview with IRM researcher, 30 August 2018</w:t>
      </w:r>
    </w:p>
  </w:endnote>
  <w:endnote w:id="31">
    <w:p w:rsidR="00846D2A" w:rsidRPr="00FE412C" w:rsidRDefault="00846D2A" w:rsidP="00EA64D5">
      <w:pPr>
        <w:pStyle w:val="EndnoteText"/>
        <w:rPr>
          <w:rFonts w:ascii="Gill Sans" w:hAnsi="Gill Sans"/>
        </w:rPr>
      </w:pPr>
      <w:r w:rsidRPr="00FE412C">
        <w:rPr>
          <w:rStyle w:val="EndnoteReference"/>
          <w:rFonts w:ascii="Gill Sans" w:hAnsi="Gill Sans" w:hint="cs"/>
          <w:szCs w:val="18"/>
        </w:rPr>
        <w:endnoteRef/>
      </w:r>
      <w:r w:rsidRPr="00FE412C">
        <w:rPr>
          <w:rFonts w:ascii="Gill Sans" w:hAnsi="Gill Sans" w:hint="cs"/>
        </w:rPr>
        <w:t xml:space="preserve"> Mariam Danelia, Adviser to the Unit of Government Plans and Innovations at the Government Administration, interview with IRM researcher, 31 August 2018</w:t>
      </w:r>
    </w:p>
  </w:endnote>
  <w:endnote w:id="32">
    <w:p w:rsidR="00846D2A" w:rsidRPr="002C23FE" w:rsidRDefault="00846D2A" w:rsidP="00EA64D5">
      <w:pPr>
        <w:pStyle w:val="EndnoteText"/>
      </w:pPr>
      <w:r w:rsidRPr="002C23FE">
        <w:rPr>
          <w:rStyle w:val="EndnoteReference"/>
          <w:rFonts w:ascii="Gill Sans" w:hAnsi="Gill Sans"/>
          <w:szCs w:val="18"/>
        </w:rPr>
        <w:endnoteRef/>
      </w:r>
      <w:r w:rsidRPr="002C23FE">
        <w:t xml:space="preserve"> Civil Service Bureau, 2017 Results of Asset Declaration Monitoring, 29 December 2017, </w:t>
      </w:r>
      <w:hyperlink r:id="rId8" w:history="1">
        <w:r w:rsidRPr="002C23FE">
          <w:rPr>
            <w:rStyle w:val="Hyperlink"/>
            <w:rFonts w:ascii="Gill Sans" w:hAnsi="Gill Sans"/>
            <w:szCs w:val="18"/>
          </w:rPr>
          <w:t>https://bit.ly/2QqBUgB</w:t>
        </w:r>
      </w:hyperlink>
      <w:r w:rsidRPr="002C23FE">
        <w:t xml:space="preserve"> </w:t>
      </w:r>
    </w:p>
  </w:endnote>
  <w:endnote w:id="33">
    <w:p w:rsidR="00846D2A" w:rsidRPr="002C23FE" w:rsidRDefault="00846D2A" w:rsidP="00EA64D5">
      <w:pPr>
        <w:pStyle w:val="EndnoteText"/>
      </w:pPr>
      <w:r w:rsidRPr="002C23FE">
        <w:rPr>
          <w:rStyle w:val="EndnoteReference"/>
          <w:rFonts w:ascii="Gill Sans" w:hAnsi="Gill Sans"/>
          <w:szCs w:val="18"/>
        </w:rPr>
        <w:endnoteRef/>
      </w:r>
      <w:r w:rsidRPr="002C23FE">
        <w:t xml:space="preserve"> Law of Georgia on Conflict of Interest and Corruption in Public Service, Article 20,</w:t>
      </w:r>
      <w:hyperlink r:id="rId9" w:history="1">
        <w:r w:rsidRPr="002C23FE">
          <w:rPr>
            <w:rStyle w:val="Hyperlink"/>
            <w:rFonts w:ascii="Gill Sans" w:hAnsi="Gill Sans"/>
            <w:color w:val="auto"/>
            <w:szCs w:val="18"/>
          </w:rPr>
          <w:t xml:space="preserve"> </w:t>
        </w:r>
      </w:hyperlink>
      <w:hyperlink r:id="rId10" w:history="1">
        <w:r w:rsidRPr="002C23FE">
          <w:rPr>
            <w:rStyle w:val="Hyperlink"/>
            <w:rFonts w:ascii="Gill Sans" w:hAnsi="Gill Sans"/>
            <w:color w:val="auto"/>
            <w:szCs w:val="18"/>
          </w:rPr>
          <w:t>http://bit.ly/1Lo3Pbg</w:t>
        </w:r>
      </w:hyperlink>
      <w:r w:rsidRPr="002C23FE">
        <w:t xml:space="preserve"> </w:t>
      </w:r>
    </w:p>
  </w:endnote>
  <w:endnote w:id="34">
    <w:p w:rsidR="00846D2A" w:rsidRPr="002C23FE" w:rsidRDefault="00846D2A" w:rsidP="00EA64D5">
      <w:pPr>
        <w:pStyle w:val="EndnoteText"/>
      </w:pPr>
      <w:r w:rsidRPr="002C23FE">
        <w:rPr>
          <w:rStyle w:val="EndnoteReference"/>
          <w:rFonts w:ascii="Gill Sans" w:hAnsi="Gill Sans"/>
          <w:szCs w:val="18"/>
        </w:rPr>
        <w:endnoteRef/>
      </w:r>
      <w:r w:rsidRPr="002C23FE">
        <w:t xml:space="preserve"> CSB, </w:t>
      </w:r>
      <w:hyperlink r:id="rId11" w:history="1">
        <w:r w:rsidRPr="002C23FE">
          <w:rPr>
            <w:rStyle w:val="Hyperlink"/>
            <w:rFonts w:ascii="Gill Sans" w:hAnsi="Gill Sans"/>
            <w:szCs w:val="18"/>
          </w:rPr>
          <w:t>https://bit.ly/2QqBUgB</w:t>
        </w:r>
      </w:hyperlink>
    </w:p>
  </w:endnote>
  <w:endnote w:id="35">
    <w:p w:rsidR="00846D2A" w:rsidRDefault="00846D2A" w:rsidP="00EA64D5">
      <w:pPr>
        <w:pStyle w:val="EndnoteText"/>
      </w:pPr>
      <w:r>
        <w:rPr>
          <w:rStyle w:val="EndnoteReference"/>
        </w:rPr>
        <w:endnoteRef/>
      </w:r>
      <w:r>
        <w:t xml:space="preserve"> </w:t>
      </w:r>
      <w:r w:rsidRPr="002C23FE">
        <w:t>Giorgi Nasrashvili, Senior Analyst, Lasha Senashvili, Senior Analyst, and Gigi Chikhladze, Senior Lawyer, Transparency International, interview with IRM researchers, 23 August 2018</w:t>
      </w:r>
    </w:p>
  </w:endnote>
  <w:endnote w:id="36">
    <w:p w:rsidR="00846D2A" w:rsidRDefault="00846D2A">
      <w:pPr>
        <w:pStyle w:val="EndnoteText"/>
      </w:pPr>
      <w:r>
        <w:rPr>
          <w:rStyle w:val="EndnoteReference"/>
        </w:rPr>
        <w:endnoteRef/>
      </w:r>
      <w:r>
        <w:t xml:space="preserve"> </w:t>
      </w:r>
      <w:r w:rsidRPr="00C82219">
        <w:t>Levan Avalishvii, Programs Director, and Saba Buadze, Anti-Corruption Direction Head, interview with IRM researchers, August 22, 2018</w:t>
      </w:r>
    </w:p>
  </w:endnote>
  <w:endnote w:id="37">
    <w:p w:rsidR="00846D2A" w:rsidRPr="002C23FE" w:rsidRDefault="00846D2A" w:rsidP="00EA64D5">
      <w:pPr>
        <w:pStyle w:val="EndnoteText"/>
      </w:pPr>
      <w:r w:rsidRPr="002C23FE">
        <w:rPr>
          <w:rStyle w:val="EndnoteReference"/>
          <w:rFonts w:ascii="Gill Sans" w:hAnsi="Gill Sans"/>
          <w:szCs w:val="18"/>
        </w:rPr>
        <w:endnoteRef/>
      </w:r>
      <w:r w:rsidRPr="002C23FE">
        <w:t xml:space="preserve"> Giorgi Nasrashvili, Senior Analyst, Lasha Senashvili, Senior Analyst, and Gigi Chikhladze, Senior Lawyer, Transparency International, interview with IRM researchers, 23 August 2018</w:t>
      </w:r>
    </w:p>
  </w:endnote>
  <w:endnote w:id="38">
    <w:p w:rsidR="00846D2A" w:rsidRPr="002C23FE" w:rsidRDefault="00846D2A" w:rsidP="00EA64D5">
      <w:pPr>
        <w:pStyle w:val="EndnoteText"/>
      </w:pPr>
      <w:r w:rsidRPr="002C23FE">
        <w:rPr>
          <w:rStyle w:val="EndnoteReference"/>
          <w:rFonts w:ascii="Gill Sans" w:hAnsi="Gill Sans"/>
          <w:szCs w:val="18"/>
        </w:rPr>
        <w:endnoteRef/>
      </w:r>
      <w:r w:rsidRPr="002C23FE">
        <w:t xml:space="preserve"> Giorgi Asanidze, Head of Unit of Information Technologies at the Supreme Court of Georgia, interview with IRM researcher, 7 September 2018. </w:t>
      </w:r>
    </w:p>
  </w:endnote>
  <w:endnote w:id="39">
    <w:p w:rsidR="00846D2A" w:rsidRPr="002C23FE" w:rsidRDefault="00846D2A" w:rsidP="00EA64D5">
      <w:pPr>
        <w:pStyle w:val="EndnoteText"/>
      </w:pPr>
      <w:r w:rsidRPr="002C23FE">
        <w:rPr>
          <w:rStyle w:val="EndnoteReference"/>
          <w:rFonts w:ascii="Gill Sans" w:hAnsi="Gill Sans"/>
          <w:szCs w:val="18"/>
        </w:rPr>
        <w:endnoteRef/>
      </w:r>
      <w:r w:rsidRPr="002C23FE">
        <w:t xml:space="preserve"> Georgia’s Draft OGP National Action Plan of 2018-2019, Commitment # 8 </w:t>
      </w:r>
      <w:r w:rsidRPr="002C23FE">
        <w:rPr>
          <w:i/>
        </w:rPr>
        <w:t>Publishing Court Decisions in a Unified Database and Creating a Search System</w:t>
      </w:r>
      <w:r w:rsidRPr="002C23FE">
        <w:t>, August 2018.</w:t>
      </w:r>
    </w:p>
  </w:endnote>
  <w:endnote w:id="40">
    <w:p w:rsidR="00846D2A" w:rsidRPr="002C5B3B" w:rsidRDefault="00846D2A"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Subordinate units include LEPL – Municipal Development Fund (MDF), LEPL – Vano Khukhunashvili Center for Effective Governance Systems and Territorial Arrangement Reform, Roads Department of Georgia, as well as LLC Solid Waste Company of Georgia, LLC United Water Supply Company of Georgia, and LLC State Construction Company.</w:t>
      </w:r>
    </w:p>
  </w:endnote>
  <w:endnote w:id="41">
    <w:p w:rsidR="00846D2A" w:rsidRPr="002C5B3B" w:rsidRDefault="00846D2A"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OGP IRM Midterm Report 2017, https://bit.ly/2NIr097</w:t>
      </w:r>
    </w:p>
  </w:endnote>
  <w:endnote w:id="42">
    <w:p w:rsidR="00846D2A" w:rsidRPr="002C5B3B" w:rsidRDefault="00846D2A"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Projects of the Municipal Development Fund, available here: http://mdf.org.ge/index.php?site-lang=en</w:t>
      </w:r>
    </w:p>
  </w:endnote>
  <w:endnote w:id="43">
    <w:p w:rsidR="00846D2A" w:rsidRPr="002C5B3B" w:rsidRDefault="00846D2A"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Eka Sepashvili, Advisor to the Minister, MRDI, phone interview with IRM researcher, 29 August 2018</w:t>
      </w:r>
    </w:p>
  </w:endnote>
  <w:endnote w:id="44">
    <w:p w:rsidR="00846D2A" w:rsidRPr="002C5B3B" w:rsidRDefault="00846D2A"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Eka Sepashvili, Advisor to the Minister, MRDI, e-mail correspondence interview with IRM researcher, 10 October 2018</w:t>
      </w:r>
    </w:p>
  </w:endnote>
  <w:endnote w:id="45">
    <w:p w:rsidR="00846D2A" w:rsidRPr="002C23FE" w:rsidRDefault="00846D2A" w:rsidP="00EA64D5">
      <w:pPr>
        <w:pStyle w:val="EndnoteText"/>
      </w:pPr>
      <w:r w:rsidRPr="002C5B3B">
        <w:rPr>
          <w:rStyle w:val="EndnoteReference"/>
          <w:rFonts w:ascii="Gill Sans MT" w:hAnsi="Gill Sans MT"/>
          <w:szCs w:val="18"/>
        </w:rPr>
        <w:endnoteRef/>
      </w:r>
      <w:r w:rsidRPr="002C5B3B">
        <w:rPr>
          <w:rFonts w:ascii="Gill Sans MT" w:hAnsi="Gill Sans MT"/>
        </w:rPr>
        <w:t xml:space="preserve"> Mikheil Darchiashvili, Governance Program Manager, Levan Samadashvili, Chief of Party, Tetra Tech ARD, interview with IRM researcher, 17 October 2018</w:t>
      </w:r>
    </w:p>
  </w:endnote>
  <w:endnote w:id="46">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Elena Beradze, Head of Department of International Relations at Special Penitentiary Service of Ministry of Justice, interview with IRM researcher, 22 August 2018.</w:t>
      </w:r>
    </w:p>
  </w:endnote>
  <w:endnote w:id="47">
    <w:p w:rsidR="00846D2A" w:rsidRPr="002C23FE" w:rsidRDefault="00846D2A" w:rsidP="00EA64D5">
      <w:pPr>
        <w:pStyle w:val="EndnoteText"/>
      </w:pPr>
      <w:r w:rsidRPr="00FF7B5E">
        <w:rPr>
          <w:rStyle w:val="EndnoteReference"/>
          <w:rFonts w:ascii="Gill Sans" w:hAnsi="Gill Sans" w:hint="cs"/>
          <w:szCs w:val="18"/>
        </w:rPr>
        <w:endnoteRef/>
      </w:r>
      <w:r w:rsidRPr="00FF7B5E">
        <w:rPr>
          <w:rFonts w:ascii="Gill Sans" w:hAnsi="Gill Sans" w:hint="cs"/>
        </w:rPr>
        <w:t xml:space="preserve"> Amendment to the Law of Georgia on Special Penitentiary Service, 5 July 2018, </w:t>
      </w:r>
      <w:hyperlink r:id="rId12" w:history="1">
        <w:r w:rsidRPr="00FF7B5E">
          <w:rPr>
            <w:rStyle w:val="Hyperlink"/>
            <w:rFonts w:ascii="Gill Sans" w:hAnsi="Gill Sans" w:hint="cs"/>
            <w:szCs w:val="18"/>
          </w:rPr>
          <w:t>https://bit.ly/2QpbADg</w:t>
        </w:r>
      </w:hyperlink>
      <w:r w:rsidRPr="002C23FE">
        <w:t xml:space="preserve"> </w:t>
      </w:r>
    </w:p>
  </w:endnote>
  <w:endnote w:id="48">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Supreme Court of Georgia, phone tapping data, </w:t>
      </w:r>
      <w:hyperlink r:id="rId13" w:history="1">
        <w:r w:rsidRPr="00FF7B5E">
          <w:rPr>
            <w:rStyle w:val="Hyperlink"/>
            <w:rFonts w:ascii="Gill Sans" w:hAnsi="Gill Sans" w:hint="cs"/>
            <w:szCs w:val="18"/>
          </w:rPr>
          <w:t>https://bit.ly/2O2kIkA</w:t>
        </w:r>
      </w:hyperlink>
      <w:r w:rsidRPr="00FF7B5E">
        <w:rPr>
          <w:rFonts w:ascii="Gill Sans" w:hAnsi="Gill Sans" w:hint="cs"/>
        </w:rPr>
        <w:t xml:space="preserve"> </w:t>
      </w:r>
    </w:p>
  </w:endnote>
  <w:endnote w:id="49">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OGP IRM Midterm Report 2017, https://bit.ly/2NIr097</w:t>
      </w:r>
    </w:p>
  </w:endnote>
  <w:endnote w:id="50">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Tsotne Karkashidze, Head of the State Budget Analysis and Strategic Department, e-mail correspondence with IRM researcher, 15 October 2018</w:t>
      </w:r>
    </w:p>
  </w:endnote>
  <w:endnote w:id="51">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Tsotne Karkashidze, Head of the State Budget Analysis and Strategic Department, phone interview with IRM researcher, 10 October 2018</w:t>
      </w:r>
    </w:p>
  </w:endnote>
  <w:endnote w:id="52">
    <w:p w:rsidR="00846D2A" w:rsidRPr="00FF7B5E" w:rsidRDefault="00846D2A" w:rsidP="00246B18">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Karkashidze, interview, October 2018</w:t>
      </w:r>
    </w:p>
  </w:endnote>
  <w:endnote w:id="53">
    <w:p w:rsidR="00846D2A" w:rsidRPr="00FF7B5E" w:rsidRDefault="00846D2A" w:rsidP="00EA64D5">
      <w:pPr>
        <w:pStyle w:val="EndnoteText"/>
        <w:rPr>
          <w:rFonts w:ascii="Gill Sans" w:hAnsi="Gill Sans"/>
        </w:rPr>
      </w:pPr>
      <w:r w:rsidRPr="00FF7B5E">
        <w:rPr>
          <w:rStyle w:val="EndnoteReference"/>
          <w:rFonts w:ascii="Gill Sans" w:hAnsi="Gill Sans" w:hint="cs"/>
        </w:rPr>
        <w:endnoteRef/>
      </w:r>
      <w:r w:rsidRPr="00FF7B5E">
        <w:rPr>
          <w:rFonts w:ascii="Gill Sans" w:hAnsi="Gill Sans" w:hint="cs"/>
        </w:rPr>
        <w:t xml:space="preserve"> Lasha Senashvili, Senior Analyst at Transparency International Georgia, phone interview with IRM researcher, 26 December 2018</w:t>
      </w:r>
    </w:p>
  </w:endnote>
  <w:endnote w:id="54">
    <w:p w:rsidR="00846D2A" w:rsidRPr="00FF7B5E" w:rsidRDefault="00846D2A" w:rsidP="00EA64D5">
      <w:pPr>
        <w:pStyle w:val="EndnoteText"/>
        <w:rPr>
          <w:rFonts w:ascii="Gill Sans" w:hAnsi="Gill Sans"/>
        </w:rPr>
      </w:pPr>
      <w:r w:rsidRPr="00FF7B5E">
        <w:rPr>
          <w:rStyle w:val="EndnoteReference"/>
          <w:rFonts w:ascii="Gill Sans" w:hAnsi="Gill Sans" w:hint="cs"/>
        </w:rPr>
        <w:endnoteRef/>
      </w:r>
      <w:r w:rsidRPr="00FF7B5E">
        <w:rPr>
          <w:rFonts w:ascii="Gill Sans" w:hAnsi="Gill Sans" w:hint="cs"/>
        </w:rPr>
        <w:t xml:space="preserve"> Irakli Barbakadze, Researcher at ISET, phone interview with IRM researcher, 26 December 2018, and Giorgi Topouria, Senior Analyst at Transparency International Georgia, phone interview with IRM researcher, 23 August 2018</w:t>
      </w:r>
    </w:p>
  </w:endnote>
  <w:endnote w:id="55">
    <w:p w:rsidR="00846D2A" w:rsidRPr="00FF7B5E" w:rsidRDefault="00846D2A" w:rsidP="00EA64D5">
      <w:pPr>
        <w:pStyle w:val="EndnoteText"/>
        <w:rPr>
          <w:rFonts w:ascii="Gill Sans" w:hAnsi="Gill Sans"/>
        </w:rPr>
      </w:pPr>
      <w:r w:rsidRPr="00FF7B5E">
        <w:rPr>
          <w:rStyle w:val="EndnoteReference"/>
          <w:rFonts w:ascii="Gill Sans" w:hAnsi="Gill Sans" w:hint="cs"/>
        </w:rPr>
        <w:endnoteRef/>
      </w:r>
      <w:r w:rsidRPr="00FF7B5E">
        <w:rPr>
          <w:rFonts w:ascii="Gill Sans" w:hAnsi="Gill Sans" w:hint="cs"/>
        </w:rPr>
        <w:t xml:space="preserve"> Senashvili, interview, December 2018</w:t>
      </w:r>
    </w:p>
  </w:endnote>
  <w:endnote w:id="56">
    <w:p w:rsidR="00846D2A" w:rsidRPr="00FF7B5E" w:rsidRDefault="00846D2A" w:rsidP="00246B18">
      <w:pPr>
        <w:pStyle w:val="EndnoteText"/>
        <w:rPr>
          <w:rFonts w:ascii="Gill Sans" w:hAnsi="Gill Sans"/>
        </w:rPr>
      </w:pPr>
      <w:r w:rsidRPr="00FF7B5E">
        <w:rPr>
          <w:rStyle w:val="EndnoteReference"/>
          <w:rFonts w:ascii="Gill Sans" w:hAnsi="Gill Sans" w:hint="cs"/>
        </w:rPr>
        <w:endnoteRef/>
      </w:r>
      <w:r w:rsidRPr="00FF7B5E">
        <w:rPr>
          <w:rFonts w:ascii="Gill Sans" w:hAnsi="Gill Sans" w:hint="cs"/>
        </w:rPr>
        <w:t xml:space="preserve"> Citizens often find it hard to distinguish competences of different government agencies. Therefore, a lot of the suggestions submitted to SAO through the website are irrelevant to SAO’s work (e.g. they refer to tax authorities, or other unrelated bodies). SAO screens these suggestions and deals with those that refer to the competences of the body. Currently, there is no monitoring mechanism in place to oversee how suggestions are screened. Generally, the agency is assessed positively by local CSOs, and SAO’s will to launch such a platform was commended as a step towards accountability.</w:t>
      </w:r>
    </w:p>
  </w:endnote>
  <w:endnote w:id="57">
    <w:p w:rsidR="00846D2A" w:rsidRPr="00FF7B5E" w:rsidRDefault="00846D2A" w:rsidP="00246B18">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Karkashidze, interview, October 2018</w:t>
      </w:r>
    </w:p>
  </w:endnote>
  <w:endnote w:id="58">
    <w:p w:rsidR="00846D2A" w:rsidRPr="00FF7B5E" w:rsidRDefault="00846D2A" w:rsidP="00EA64D5">
      <w:pPr>
        <w:pStyle w:val="EndnoteText"/>
        <w:rPr>
          <w:rFonts w:ascii="Gill Sans" w:hAnsi="Gill Sans"/>
        </w:rPr>
      </w:pPr>
      <w:r w:rsidRPr="00FF7B5E">
        <w:rPr>
          <w:rStyle w:val="EndnoteReference"/>
          <w:rFonts w:ascii="Gill Sans" w:hAnsi="Gill Sans" w:hint="cs"/>
        </w:rPr>
        <w:endnoteRef/>
      </w:r>
      <w:r w:rsidRPr="00FF7B5E">
        <w:rPr>
          <w:rFonts w:ascii="Gill Sans" w:hAnsi="Gill Sans" w:hint="cs"/>
        </w:rPr>
        <w:t xml:space="preserve"> Barbakadze, interview, December 2018</w:t>
      </w:r>
    </w:p>
  </w:endnote>
  <w:endnote w:id="59">
    <w:p w:rsidR="00846D2A" w:rsidRDefault="00846D2A" w:rsidP="00EA64D5">
      <w:pPr>
        <w:pStyle w:val="EndnoteText"/>
      </w:pPr>
      <w:r w:rsidRPr="00FF7B5E">
        <w:rPr>
          <w:rStyle w:val="EndnoteReference"/>
          <w:rFonts w:ascii="Gill Sans" w:hAnsi="Gill Sans" w:hint="cs"/>
        </w:rPr>
        <w:endnoteRef/>
      </w:r>
      <w:r w:rsidRPr="00FF7B5E">
        <w:rPr>
          <w:rFonts w:ascii="Gill Sans" w:hAnsi="Gill Sans" w:hint="cs"/>
        </w:rPr>
        <w:t xml:space="preserve"> Senashvili, interview, December 2018</w:t>
      </w:r>
    </w:p>
  </w:endnote>
  <w:endnote w:id="60">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State Procurement Agency, aggregated tenders, </w:t>
      </w:r>
      <w:hyperlink r:id="rId14" w:history="1">
        <w:r w:rsidRPr="00FF7B5E">
          <w:rPr>
            <w:rStyle w:val="Hyperlink"/>
            <w:rFonts w:ascii="Gill Sans" w:hAnsi="Gill Sans" w:hint="cs"/>
            <w:szCs w:val="18"/>
          </w:rPr>
          <w:t>https://bit.ly/2zS3E8i</w:t>
        </w:r>
      </w:hyperlink>
      <w:r w:rsidRPr="00FF7B5E">
        <w:rPr>
          <w:rFonts w:ascii="Gill Sans" w:hAnsi="Gill Sans" w:hint="cs"/>
        </w:rPr>
        <w:t xml:space="preserve">  </w:t>
      </w:r>
    </w:p>
  </w:endnote>
  <w:endnote w:id="61">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State Procurement Agency, e-Plan module, </w:t>
      </w:r>
      <w:hyperlink r:id="rId15" w:history="1">
        <w:r w:rsidRPr="00FF7B5E">
          <w:rPr>
            <w:rStyle w:val="Hyperlink"/>
            <w:rFonts w:ascii="Gill Sans" w:hAnsi="Gill Sans" w:hint="cs"/>
            <w:szCs w:val="18"/>
          </w:rPr>
          <w:t>https://bit.ly/1JBkNSe</w:t>
        </w:r>
      </w:hyperlink>
      <w:r w:rsidRPr="00FF7B5E">
        <w:rPr>
          <w:rFonts w:ascii="Gill Sans" w:hAnsi="Gill Sans" w:hint="cs"/>
        </w:rPr>
        <w:t xml:space="preserve"> </w:t>
      </w:r>
    </w:p>
  </w:endnote>
  <w:endnote w:id="62">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State Procurement Agency, e-Market module, </w:t>
      </w:r>
      <w:hyperlink r:id="rId16" w:history="1">
        <w:r w:rsidRPr="00FF7B5E">
          <w:rPr>
            <w:rStyle w:val="Hyperlink"/>
            <w:rFonts w:ascii="Gill Sans" w:hAnsi="Gill Sans" w:hint="cs"/>
            <w:szCs w:val="18"/>
          </w:rPr>
          <w:t>https://bit.ly/2O80VAj</w:t>
        </w:r>
      </w:hyperlink>
      <w:r w:rsidRPr="00FF7B5E">
        <w:rPr>
          <w:rFonts w:ascii="Gill Sans" w:hAnsi="Gill Sans" w:hint="cs"/>
        </w:rPr>
        <w:t xml:space="preserve"> </w:t>
      </w:r>
    </w:p>
  </w:endnote>
  <w:endnote w:id="63">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Sandro Kevkhishvili, Analyst/Editor at Institute for Development of Freedom of Information (IDFI), interview with IRM researcher, 21 August 2018. </w:t>
      </w:r>
    </w:p>
  </w:endnote>
  <w:endnote w:id="64">
    <w:p w:rsidR="00846D2A" w:rsidRPr="00EA64D5" w:rsidRDefault="00846D2A" w:rsidP="00EA64D5">
      <w:pPr>
        <w:pStyle w:val="EndnoteText"/>
      </w:pPr>
      <w:r w:rsidRPr="00FF7B5E">
        <w:rPr>
          <w:rStyle w:val="EndnoteReference"/>
          <w:rFonts w:ascii="Gill Sans" w:hAnsi="Gill Sans" w:hint="cs"/>
          <w:szCs w:val="18"/>
        </w:rPr>
        <w:endnoteRef/>
      </w:r>
      <w:r w:rsidRPr="00FF7B5E">
        <w:rPr>
          <w:rFonts w:ascii="Gill Sans" w:hAnsi="Gill Sans" w:hint="cs"/>
        </w:rPr>
        <w:t xml:space="preserve"> Georgia’s Draft OGP National Action Plan of 2018-2019, Commitment # 12 Electronic Innovations for More Transparency and Efficiency of Public Procurement, August 2018.</w:t>
      </w:r>
    </w:p>
  </w:endnote>
  <w:endnote w:id="65">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The Ministry was merged with the Ministry of Agriculture of Georgia and is now the Ministry of Environment Protection and Agriculture of Georgia. </w:t>
      </w:r>
    </w:p>
  </w:endnote>
  <w:endnote w:id="66">
    <w:p w:rsidR="00846D2A" w:rsidRPr="00FF7B5E" w:rsidRDefault="00846D2A" w:rsidP="00EA64D5">
      <w:pPr>
        <w:pStyle w:val="EndnoteText"/>
        <w:rPr>
          <w:rFonts w:ascii="Gill Sans" w:hAnsi="Gill Sans"/>
        </w:rPr>
      </w:pPr>
      <w:r w:rsidRPr="00FF7B5E">
        <w:rPr>
          <w:rStyle w:val="EndnoteReference"/>
          <w:rFonts w:ascii="Gill Sans" w:hAnsi="Gill Sans" w:hint="cs"/>
          <w:color w:val="auto"/>
          <w:szCs w:val="18"/>
        </w:rPr>
        <w:endnoteRef/>
      </w:r>
      <w:r w:rsidRPr="00FF7B5E">
        <w:rPr>
          <w:rFonts w:ascii="Gill Sans" w:hAnsi="Gill Sans" w:hint="cs"/>
        </w:rPr>
        <w:t xml:space="preserve"> Georgia National Action Plan 2016-2018,</w:t>
      </w:r>
      <w:hyperlink r:id="rId17">
        <w:r w:rsidRPr="00FF7B5E">
          <w:rPr>
            <w:rFonts w:ascii="Gill Sans" w:hAnsi="Gill Sans" w:hint="cs"/>
          </w:rPr>
          <w:t xml:space="preserve"> </w:t>
        </w:r>
      </w:hyperlink>
      <w:hyperlink r:id="rId18">
        <w:r w:rsidRPr="00FF7B5E">
          <w:rPr>
            <w:rFonts w:ascii="Gill Sans" w:hAnsi="Gill Sans" w:hint="cs"/>
          </w:rPr>
          <w:t>http://bit.ly/2t2eFxU</w:t>
        </w:r>
      </w:hyperlink>
    </w:p>
  </w:endnote>
  <w:endnote w:id="67">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OGP IRM Midterm Report 2017, https://bit.ly/2NIr097</w:t>
      </w:r>
    </w:p>
  </w:endnote>
  <w:endnote w:id="68">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Keti Gujaraidze, Policy Analyst, Irakli Macharashvili, Biodiversity Program Director, Green Alternative, interview with IRM researcher, 22 August 2018</w:t>
      </w:r>
    </w:p>
  </w:endnote>
  <w:endnote w:id="69">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Salome Dvali, 2</w:t>
      </w:r>
      <w:r w:rsidRPr="00FF7B5E">
        <w:rPr>
          <w:rFonts w:ascii="Gill Sans" w:hAnsi="Gill Sans" w:hint="cs"/>
          <w:vertAlign w:val="superscript"/>
        </w:rPr>
        <w:t>nd</w:t>
      </w:r>
      <w:r w:rsidRPr="00FF7B5E">
        <w:rPr>
          <w:rFonts w:ascii="Gill Sans" w:hAnsi="Gill Sans" w:hint="cs"/>
        </w:rPr>
        <w:t xml:space="preserve"> Category Senior Specialist in the Strategic Planning Unit of the Environmental Assessment Department, Ministry of Environment Protection and Agriculture, e-mail correspondence with IRM researcher, 19 October 2018 </w:t>
      </w:r>
    </w:p>
  </w:endnote>
  <w:endnote w:id="70">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Dvali, October 2018</w:t>
      </w:r>
    </w:p>
  </w:endnote>
  <w:endnote w:id="71">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Dvali, October 2018</w:t>
      </w:r>
    </w:p>
  </w:endnote>
  <w:endnote w:id="72">
    <w:p w:rsidR="00846D2A" w:rsidRPr="00FF7B5E" w:rsidRDefault="00846D2A" w:rsidP="00EA64D5">
      <w:pPr>
        <w:pStyle w:val="EndnoteText"/>
        <w:rPr>
          <w:rFonts w:ascii="Gill Sans" w:hAnsi="Gill Sans"/>
        </w:rPr>
      </w:pPr>
      <w:r w:rsidRPr="00FF7B5E">
        <w:rPr>
          <w:rStyle w:val="EndnoteReference"/>
          <w:rFonts w:ascii="Gill Sans" w:hAnsi="Gill Sans" w:hint="cs"/>
        </w:rPr>
        <w:endnoteRef/>
      </w:r>
      <w:r w:rsidRPr="00FF7B5E">
        <w:rPr>
          <w:rFonts w:ascii="Gill Sans" w:hAnsi="Gill Sans" w:hint="cs"/>
        </w:rPr>
        <w:t xml:space="preserve"> Green Alternative, “A Year After the Enactment of the Environmental Assessment Code: the Shortcomings Identified”, December 2018, </w:t>
      </w:r>
      <w:hyperlink r:id="rId19" w:history="1">
        <w:r w:rsidRPr="00FF7B5E">
          <w:rPr>
            <w:rFonts w:ascii="Gill Sans" w:hAnsi="Gill Sans" w:hint="cs"/>
          </w:rPr>
          <w:t>http://greenalt.org/wp-content/uploads/2018/12/EIA_policy_brief_2018_FINAL_ENG.pdf</w:t>
        </w:r>
      </w:hyperlink>
      <w:r w:rsidRPr="00FF7B5E">
        <w:rPr>
          <w:rFonts w:ascii="Gill Sans" w:hAnsi="Gill Sans" w:hint="cs"/>
        </w:rPr>
        <w:t xml:space="preserve"> </w:t>
      </w:r>
    </w:p>
  </w:endnote>
  <w:endnote w:id="73">
    <w:p w:rsidR="00846D2A" w:rsidRPr="00FF7B5E" w:rsidRDefault="00846D2A" w:rsidP="00EA64D5">
      <w:pPr>
        <w:pStyle w:val="EndnoteText"/>
        <w:rPr>
          <w:rFonts w:ascii="Gill Sans" w:hAnsi="Gill Sans"/>
        </w:rPr>
      </w:pPr>
      <w:r w:rsidRPr="00FF7B5E">
        <w:rPr>
          <w:rStyle w:val="EndnoteReference"/>
          <w:rFonts w:ascii="Gill Sans" w:hAnsi="Gill Sans" w:hint="cs"/>
        </w:rPr>
        <w:endnoteRef/>
      </w:r>
      <w:r w:rsidRPr="00FF7B5E">
        <w:rPr>
          <w:rFonts w:ascii="Gill Sans" w:hAnsi="Gill Sans" w:hint="cs"/>
        </w:rPr>
        <w:t xml:space="preserve"> Rezo Getiashvili, Environmental Projects Coordinator, Caucasus Environmental NGO Network (CENN), interview with IRM researcher, 28 December 2018</w:t>
      </w:r>
    </w:p>
  </w:endnote>
  <w:endnote w:id="74">
    <w:p w:rsidR="00846D2A" w:rsidRPr="00FF7B5E" w:rsidRDefault="00846D2A" w:rsidP="00EA64D5">
      <w:pPr>
        <w:pStyle w:val="EndnoteText"/>
        <w:rPr>
          <w:rFonts w:ascii="Gill Sans" w:hAnsi="Gill Sans"/>
        </w:rPr>
      </w:pPr>
      <w:r w:rsidRPr="00FF7B5E">
        <w:rPr>
          <w:rStyle w:val="EndnoteReference"/>
          <w:rFonts w:ascii="Gill Sans" w:hAnsi="Gill Sans" w:hint="cs"/>
        </w:rPr>
        <w:endnoteRef/>
      </w:r>
      <w:r w:rsidRPr="00FF7B5E">
        <w:rPr>
          <w:rFonts w:ascii="Gill Sans" w:hAnsi="Gill Sans" w:hint="cs"/>
        </w:rPr>
        <w:t xml:space="preserve"> Keti Gujaraidze, Policy Analyst, Green Alternative, interview with IRM researcher, 26 December 2018</w:t>
      </w:r>
    </w:p>
  </w:endnote>
  <w:endnote w:id="75">
    <w:p w:rsidR="00846D2A" w:rsidRPr="00FF7B5E" w:rsidRDefault="00846D2A" w:rsidP="00EA64D5">
      <w:pPr>
        <w:pStyle w:val="EndnoteText"/>
        <w:rPr>
          <w:rFonts w:ascii="Gill Sans" w:hAnsi="Gill Sans"/>
        </w:rPr>
      </w:pPr>
      <w:r w:rsidRPr="00FF7B5E">
        <w:rPr>
          <w:rStyle w:val="EndnoteReference"/>
          <w:rFonts w:ascii="Gill Sans" w:hAnsi="Gill Sans" w:hint="cs"/>
        </w:rPr>
        <w:endnoteRef/>
      </w:r>
      <w:r w:rsidRPr="00FF7B5E">
        <w:rPr>
          <w:rStyle w:val="EndnoteReference"/>
          <w:rFonts w:ascii="Gill Sans" w:hAnsi="Gill Sans" w:hint="cs"/>
        </w:rPr>
        <w:t xml:space="preserve"> </w:t>
      </w:r>
      <w:r w:rsidRPr="00FF7B5E">
        <w:rPr>
          <w:rFonts w:ascii="Gill Sans" w:hAnsi="Gill Sans" w:hint="cs"/>
        </w:rPr>
        <w:t>Getiashvili, interview, December 2018</w:t>
      </w:r>
    </w:p>
  </w:endnote>
  <w:endnote w:id="76">
    <w:p w:rsidR="00846D2A" w:rsidRPr="00FF7B5E" w:rsidRDefault="00846D2A" w:rsidP="00EA64D5">
      <w:pPr>
        <w:pStyle w:val="EndnoteText"/>
        <w:rPr>
          <w:rFonts w:ascii="Gill Sans" w:hAnsi="Gill Sans"/>
        </w:rPr>
      </w:pPr>
      <w:r w:rsidRPr="00FF7B5E">
        <w:rPr>
          <w:rStyle w:val="EndnoteReference"/>
          <w:rFonts w:ascii="Gill Sans" w:hAnsi="Gill Sans" w:hint="cs"/>
        </w:rPr>
        <w:endnoteRef/>
      </w:r>
      <w:r w:rsidRPr="00FF7B5E">
        <w:rPr>
          <w:rFonts w:ascii="Gill Sans" w:hAnsi="Gill Sans" w:hint="cs"/>
        </w:rPr>
        <w:t xml:space="preserve"> Ann Inasaridze, Environmental Resources Management Specialist, CENN, email correspondence with IRM researcher, 29 December 2018</w:t>
      </w:r>
    </w:p>
  </w:endnote>
  <w:endnote w:id="77">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Gujaraidze, Macharashvili, August 2018</w:t>
      </w:r>
    </w:p>
  </w:endnote>
  <w:endnote w:id="78">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OGP IRM Midterm Report 2017, https://bit.ly/2NIr097</w:t>
      </w:r>
    </w:p>
  </w:endnote>
  <w:endnote w:id="79">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Natia Piriashvili, Head of Analysis and Project Management Office, LEPL “112”, interview with IRM researcher, 9 October 2018</w:t>
      </w:r>
    </w:p>
  </w:endnote>
  <w:endnote w:id="80">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Natia Piriashvili, Head of Analysis and Project Management Office, LEPL “112”, e-mail correspondence with IRM researcher, 9 October 2018</w:t>
      </w:r>
    </w:p>
  </w:endnote>
  <w:endnote w:id="81">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Piriashvili, e-mail correspondence, October 2018</w:t>
      </w:r>
    </w:p>
  </w:endnote>
  <w:endnote w:id="82">
    <w:p w:rsidR="00846D2A" w:rsidRPr="00FF7B5E" w:rsidRDefault="00846D2A" w:rsidP="00EA64D5">
      <w:pPr>
        <w:pStyle w:val="EndnoteText"/>
        <w:rPr>
          <w:rFonts w:ascii="Gill Sans" w:hAnsi="Gill Sans"/>
        </w:rPr>
      </w:pPr>
      <w:r w:rsidRPr="00FF7B5E">
        <w:rPr>
          <w:rStyle w:val="EndnoteReference"/>
          <w:rFonts w:ascii="Gill Sans" w:hAnsi="Gill Sans" w:hint="cs"/>
          <w:szCs w:val="18"/>
        </w:rPr>
        <w:endnoteRef/>
      </w:r>
      <w:r w:rsidRPr="00FF7B5E">
        <w:rPr>
          <w:rFonts w:ascii="Gill Sans" w:hAnsi="Gill Sans" w:hint="cs"/>
        </w:rPr>
        <w:t xml:space="preserve"> Piriashvili, interview, October 2018</w:t>
      </w:r>
    </w:p>
  </w:endnote>
  <w:endnote w:id="83">
    <w:p w:rsidR="00846D2A" w:rsidRPr="002C23FE" w:rsidRDefault="00846D2A" w:rsidP="00EA64D5">
      <w:pPr>
        <w:pStyle w:val="EndnoteText"/>
      </w:pPr>
      <w:r w:rsidRPr="00FF7B5E">
        <w:rPr>
          <w:rStyle w:val="EndnoteReference"/>
          <w:rFonts w:ascii="Gill Sans" w:hAnsi="Gill Sans" w:hint="cs"/>
          <w:szCs w:val="18"/>
        </w:rPr>
        <w:endnoteRef/>
      </w:r>
      <w:r w:rsidRPr="00FF7B5E">
        <w:rPr>
          <w:rFonts w:ascii="Gill Sans" w:hAnsi="Gill Sans" w:hint="cs"/>
        </w:rPr>
        <w:t xml:space="preserve"> Piriashvili, interview, October 2018</w:t>
      </w:r>
    </w:p>
  </w:endnote>
  <w:endnote w:id="84">
    <w:p w:rsidR="00846D2A" w:rsidRPr="00565626" w:rsidRDefault="00846D2A" w:rsidP="00EA64D5">
      <w:pPr>
        <w:pStyle w:val="EndnoteText"/>
        <w:rPr>
          <w:rFonts w:ascii="Gill Sans" w:hAnsi="Gill Sans"/>
        </w:rPr>
      </w:pPr>
      <w:r w:rsidRPr="00565626">
        <w:rPr>
          <w:rStyle w:val="EndnoteReference"/>
          <w:rFonts w:ascii="Gill Sans" w:hAnsi="Gill Sans" w:hint="cs"/>
        </w:rPr>
        <w:endnoteRef/>
      </w:r>
      <w:r w:rsidRPr="00565626">
        <w:rPr>
          <w:rFonts w:ascii="Gill Sans" w:hAnsi="Gill Sans" w:hint="cs"/>
        </w:rPr>
        <w:t xml:space="preserve"> Report of The Chief Prosecutor of Georgia 2018: </w:t>
      </w:r>
      <w:hyperlink r:id="rId20" w:history="1">
        <w:r w:rsidRPr="00565626">
          <w:rPr>
            <w:rStyle w:val="Hyperlink"/>
            <w:rFonts w:ascii="Gill Sans" w:hAnsi="Gill Sans" w:hint="cs"/>
          </w:rPr>
          <w:t>http://pog.gov.ge/res/docs/ReportoftheChiefProsecutor2017.pdf</w:t>
        </w:r>
      </w:hyperlink>
    </w:p>
  </w:endnote>
  <w:endnote w:id="85">
    <w:p w:rsidR="00846D2A" w:rsidRPr="00565626" w:rsidRDefault="00846D2A" w:rsidP="00EA64D5">
      <w:pPr>
        <w:pStyle w:val="EndnoteText"/>
        <w:rPr>
          <w:rFonts w:ascii="Gill Sans" w:hAnsi="Gill Sans"/>
        </w:rPr>
      </w:pPr>
      <w:r w:rsidRPr="00565626">
        <w:rPr>
          <w:rStyle w:val="EndnoteReference"/>
          <w:rFonts w:ascii="Gill Sans" w:hAnsi="Gill Sans" w:hint="cs"/>
        </w:rPr>
        <w:endnoteRef/>
      </w:r>
      <w:r w:rsidRPr="00565626">
        <w:rPr>
          <w:rFonts w:ascii="Gill Sans" w:hAnsi="Gill Sans" w:hint="cs"/>
        </w:rPr>
        <w:t xml:space="preserve"> Georgia National Action Plan 2016-2018, </w:t>
      </w:r>
      <w:hyperlink r:id="rId21" w:history="1">
        <w:r w:rsidRPr="00565626">
          <w:rPr>
            <w:rStyle w:val="Hyperlink"/>
            <w:rFonts w:ascii="Gill Sans" w:hAnsi="Gill Sans" w:hint="cs"/>
          </w:rPr>
          <w:t>http://bit.ly/2t2eFxU</w:t>
        </w:r>
      </w:hyperlink>
    </w:p>
  </w:endnote>
  <w:endnote w:id="86">
    <w:p w:rsidR="00846D2A" w:rsidRPr="00565626" w:rsidRDefault="00846D2A" w:rsidP="00EA64D5">
      <w:pPr>
        <w:pStyle w:val="EndnoteText"/>
        <w:rPr>
          <w:rFonts w:ascii="Gill Sans" w:hAnsi="Gill Sans"/>
        </w:rPr>
      </w:pPr>
      <w:r w:rsidRPr="00565626">
        <w:rPr>
          <w:rStyle w:val="EndnoteReference"/>
          <w:rFonts w:ascii="Gill Sans" w:hAnsi="Gill Sans" w:hint="cs"/>
        </w:rPr>
        <w:endnoteRef/>
      </w:r>
      <w:r w:rsidRPr="00565626">
        <w:rPr>
          <w:rFonts w:ascii="Gill Sans" w:hAnsi="Gill Sans" w:hint="cs"/>
        </w:rPr>
        <w:t xml:space="preserve"> OGP IRM Midterm Report 2017, </w:t>
      </w:r>
      <w:hyperlink r:id="rId22" w:history="1">
        <w:r w:rsidRPr="00565626">
          <w:rPr>
            <w:rStyle w:val="Hyperlink"/>
            <w:rFonts w:ascii="Gill Sans" w:hAnsi="Gill Sans" w:hint="cs"/>
          </w:rPr>
          <w:t>https://bit.ly/2NIr097</w:t>
        </w:r>
      </w:hyperlink>
    </w:p>
  </w:endnote>
  <w:endnote w:id="87">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Natia Mukhiashvili, Prosecutor at Analytical Division of the Prosecutor’s Office of Georgia, interview with IRM researcher, 16 October, 2018.</w:t>
      </w:r>
    </w:p>
  </w:endnote>
  <w:endnote w:id="88">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Report of the Chief Prosecutor of Georgia 2018, </w:t>
      </w:r>
      <w:hyperlink r:id="rId23" w:history="1">
        <w:r w:rsidRPr="00565626">
          <w:rPr>
            <w:rStyle w:val="Hyperlink"/>
            <w:rFonts w:ascii="Gill Sans" w:hAnsi="Gill Sans" w:hint="cs"/>
            <w:szCs w:val="18"/>
          </w:rPr>
          <w:t>https://bit.ly/2OWWbxN</w:t>
        </w:r>
      </w:hyperlink>
    </w:p>
  </w:endnote>
  <w:endnote w:id="89">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Bolnisi Newspaper, Bolnisi Prosecutor’s Office presented the local councils initiative, 2016: </w:t>
      </w:r>
      <w:hyperlink r:id="rId24" w:history="1">
        <w:r w:rsidRPr="00565626">
          <w:rPr>
            <w:rFonts w:ascii="Gill Sans" w:hAnsi="Gill Sans" w:hint="cs"/>
          </w:rPr>
          <w:t>https://bit.ly/2qR4LzV</w:t>
        </w:r>
      </w:hyperlink>
      <w:r w:rsidRPr="00565626">
        <w:rPr>
          <w:rFonts w:ascii="Gill Sans" w:hAnsi="Gill Sans" w:hint="cs"/>
        </w:rPr>
        <w:t xml:space="preserve"> </w:t>
      </w:r>
    </w:p>
  </w:endnote>
  <w:endnote w:id="90">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Report of the Chief Prosecutor of Georgia 2018, https://bit.ly/2OWWbxN</w:t>
      </w:r>
    </w:p>
  </w:endnote>
  <w:endnote w:id="91">
    <w:p w:rsidR="00846D2A" w:rsidRDefault="00846D2A">
      <w:pPr>
        <w:pStyle w:val="EndnoteText"/>
      </w:pPr>
      <w:r w:rsidRPr="00565626">
        <w:rPr>
          <w:rStyle w:val="EndnoteReference"/>
          <w:rFonts w:ascii="Gill Sans" w:hAnsi="Gill Sans" w:hint="cs"/>
        </w:rPr>
        <w:endnoteRef/>
      </w:r>
      <w:r w:rsidRPr="00565626">
        <w:rPr>
          <w:rFonts w:ascii="Gill Sans" w:hAnsi="Gill Sans" w:hint="cs"/>
        </w:rPr>
        <w:t xml:space="preserve"> National Statistics Office of Georgia, Criminal Justice Statistics: </w:t>
      </w:r>
      <w:hyperlink r:id="rId25" w:history="1">
        <w:r w:rsidRPr="00565626">
          <w:rPr>
            <w:rStyle w:val="Hyperlink"/>
            <w:rFonts w:ascii="Gill Sans" w:hAnsi="Gill Sans" w:hint="cs"/>
          </w:rPr>
          <w:t>http://www.geostat.ge/index.php?action=page&amp;p_id=602&amp;lang=eng</w:t>
        </w:r>
      </w:hyperlink>
      <w:r>
        <w:t xml:space="preserve"> </w:t>
      </w:r>
    </w:p>
  </w:endnote>
  <w:endnote w:id="92">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Mukhiashvili, October 2018.</w:t>
      </w:r>
    </w:p>
  </w:endnote>
  <w:endnote w:id="93">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Georgia IRM Midterm Report 2017, </w:t>
      </w:r>
      <w:hyperlink r:id="rId26" w:history="1">
        <w:r w:rsidRPr="00565626">
          <w:rPr>
            <w:rStyle w:val="Hyperlink"/>
            <w:rFonts w:ascii="Gill Sans" w:hAnsi="Gill Sans" w:hint="cs"/>
            <w:szCs w:val="18"/>
          </w:rPr>
          <w:t>https://bit.ly/2NIr097</w:t>
        </w:r>
      </w:hyperlink>
    </w:p>
  </w:endnote>
  <w:endnote w:id="94">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Prosecutor’s Office of Georgia, “Specialized Prosecutors will supervise the cases of Domestic Violence”, March, 2018: </w:t>
      </w:r>
      <w:hyperlink r:id="rId27" w:history="1">
        <w:r w:rsidRPr="00565626">
          <w:rPr>
            <w:rStyle w:val="Hyperlink"/>
            <w:rFonts w:ascii="Gill Sans" w:hAnsi="Gill Sans" w:hint="cs"/>
            <w:szCs w:val="18"/>
          </w:rPr>
          <w:t>http://pog.gov.ge/geo/news?info_id=1555</w:t>
        </w:r>
      </w:hyperlink>
    </w:p>
  </w:endnote>
  <w:endnote w:id="95">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Chkadua, October, 2018. </w:t>
      </w:r>
    </w:p>
  </w:endnote>
  <w:endnote w:id="96">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Malkhaz Chkadua, Regional Offices Manager at Transparency International, e-mail correspondence with IRM researcher, October 31, 2018</w:t>
      </w:r>
    </w:p>
  </w:endnote>
  <w:endnote w:id="97">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Focus Groups conducted by IRM researcher. Akhaltsike 19 October, 2018, Ozurgeti – 22 October, 2018; Zugdidi – 23 October, 2018. </w:t>
      </w:r>
    </w:p>
  </w:endnote>
  <w:endnote w:id="98">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Kvira, “Presentation of the Local Council in Bolnisi, within the “Local Councils” project”, 29 June, 2018: </w:t>
      </w:r>
      <w:hyperlink r:id="rId28" w:history="1">
        <w:r w:rsidRPr="00565626">
          <w:rPr>
            <w:rStyle w:val="Hyperlink"/>
            <w:rFonts w:ascii="Gill Sans" w:hAnsi="Gill Sans" w:hint="cs"/>
            <w:szCs w:val="18"/>
          </w:rPr>
          <w:t>http://kvira.ge/407472</w:t>
        </w:r>
      </w:hyperlink>
    </w:p>
  </w:endnote>
  <w:endnote w:id="99">
    <w:p w:rsidR="00846D2A" w:rsidRPr="00565626" w:rsidRDefault="00846D2A" w:rsidP="003F30AE">
      <w:pPr>
        <w:rPr>
          <w:rFonts w:eastAsia="Times New Roman"/>
          <w:color w:val="auto"/>
          <w:sz w:val="18"/>
          <w:szCs w:val="18"/>
        </w:rPr>
      </w:pPr>
      <w:r w:rsidRPr="00565626">
        <w:rPr>
          <w:rStyle w:val="EndnoteReference"/>
          <w:rFonts w:hint="cs"/>
          <w:sz w:val="18"/>
          <w:szCs w:val="18"/>
        </w:rPr>
        <w:endnoteRef/>
      </w:r>
      <w:r w:rsidRPr="00565626">
        <w:rPr>
          <w:rFonts w:hint="cs"/>
          <w:sz w:val="18"/>
          <w:szCs w:val="18"/>
        </w:rPr>
        <w:t xml:space="preserve">ProfNews, “Samtredia Regional Prosecutor’s Office organized presentation of the Local Council”, August 4, 2017: </w:t>
      </w:r>
      <w:hyperlink r:id="rId29" w:history="1">
        <w:r w:rsidRPr="00565626">
          <w:rPr>
            <w:rStyle w:val="Hyperlink"/>
            <w:rFonts w:hint="cs"/>
            <w:sz w:val="18"/>
            <w:szCs w:val="18"/>
          </w:rPr>
          <w:t>https://bit.ly/2CPtsUm</w:t>
        </w:r>
      </w:hyperlink>
    </w:p>
  </w:endnote>
  <w:endnote w:id="100">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Zari News, “The Prosecutor’s Office established a Local Council”, (video), 8 August, 2017: </w:t>
      </w:r>
      <w:hyperlink r:id="rId30" w:history="1">
        <w:r w:rsidRPr="00565626">
          <w:rPr>
            <w:rStyle w:val="Hyperlink"/>
            <w:rFonts w:ascii="Gill Sans" w:hAnsi="Gill Sans" w:hint="cs"/>
            <w:szCs w:val="18"/>
          </w:rPr>
          <w:t>https://bit.ly/2Q83H5s</w:t>
        </w:r>
      </w:hyperlink>
    </w:p>
  </w:endnote>
  <w:endnote w:id="101">
    <w:p w:rsidR="00846D2A" w:rsidRPr="00565626" w:rsidRDefault="00846D2A" w:rsidP="00EA64D5">
      <w:pPr>
        <w:pStyle w:val="EndnoteText"/>
        <w:rPr>
          <w:rFonts w:ascii="Gill Sans" w:hAnsi="Gill Sans"/>
          <w:color w:val="0000FF" w:themeColor="hyperlink"/>
          <w:u w:val="single"/>
        </w:rPr>
      </w:pPr>
      <w:r w:rsidRPr="00565626">
        <w:rPr>
          <w:rStyle w:val="EndnoteReference"/>
          <w:rFonts w:ascii="Gill Sans" w:hAnsi="Gill Sans" w:hint="cs"/>
          <w:szCs w:val="18"/>
        </w:rPr>
        <w:endnoteRef/>
      </w:r>
      <w:r w:rsidRPr="00565626">
        <w:rPr>
          <w:rFonts w:ascii="Gill Sans" w:hAnsi="Gill Sans" w:hint="cs"/>
        </w:rPr>
        <w:t xml:space="preserve"> Strategy of Prosecutor’s Office of Georgia 2017-2021: </w:t>
      </w:r>
      <w:hyperlink r:id="rId31" w:history="1">
        <w:r w:rsidRPr="00565626">
          <w:rPr>
            <w:rStyle w:val="Hyperlink"/>
            <w:rFonts w:ascii="Gill Sans" w:hAnsi="Gill Sans" w:hint="cs"/>
            <w:szCs w:val="18"/>
          </w:rPr>
          <w:t>http://pog.gov.ge/res/docs/saqartvelosprokuratuirsstrategia.pdf</w:t>
        </w:r>
      </w:hyperlink>
    </w:p>
    <w:p w:rsidR="00846D2A" w:rsidRPr="00565626" w:rsidRDefault="00846D2A" w:rsidP="00EA64D5">
      <w:pPr>
        <w:pStyle w:val="EndnoteText"/>
        <w:rPr>
          <w:rFonts w:ascii="Gill Sans" w:hAnsi="Gill Sans"/>
        </w:rPr>
      </w:pPr>
    </w:p>
    <w:p w:rsidR="00846D2A" w:rsidRPr="00FB1151" w:rsidRDefault="00846D2A" w:rsidP="00EA64D5">
      <w:pPr>
        <w:pStyle w:val="EndnoteText"/>
      </w:pPr>
    </w:p>
  </w:endnote>
  <w:endnote w:id="102">
    <w:p w:rsidR="00846D2A" w:rsidRPr="00565626" w:rsidRDefault="00846D2A" w:rsidP="00EA64D5">
      <w:pPr>
        <w:pStyle w:val="EndnoteText"/>
        <w:rPr>
          <w:rFonts w:ascii="Gill Sans" w:hAnsi="Gill Sans"/>
          <w:lang w:val="ka-GE"/>
        </w:rPr>
      </w:pPr>
      <w:r w:rsidRPr="00565626">
        <w:rPr>
          <w:rStyle w:val="EndnoteReference"/>
          <w:rFonts w:ascii="Gill Sans" w:hAnsi="Gill Sans" w:hint="cs"/>
          <w:szCs w:val="18"/>
        </w:rPr>
        <w:endnoteRef/>
      </w:r>
      <w:r w:rsidRPr="00565626">
        <w:rPr>
          <w:rFonts w:ascii="Gill Sans" w:hAnsi="Gill Sans" w:hint="cs"/>
        </w:rPr>
        <w:t xml:space="preserve"> OGP IRM Midterm Report 2017, https://bit.ly/2NIr097</w:t>
      </w:r>
    </w:p>
  </w:endnote>
  <w:endnote w:id="103">
    <w:p w:rsidR="00846D2A" w:rsidRPr="00565626" w:rsidRDefault="00846D2A" w:rsidP="00EA64D5">
      <w:pPr>
        <w:pStyle w:val="EndnoteText"/>
        <w:rPr>
          <w:rFonts w:ascii="Gill Sans" w:hAnsi="Gill Sans"/>
        </w:rPr>
      </w:pPr>
      <w:r w:rsidRPr="00565626">
        <w:rPr>
          <w:rStyle w:val="EndnoteReference"/>
          <w:rFonts w:ascii="Gill Sans" w:hAnsi="Gill Sans" w:hint="cs"/>
        </w:rPr>
        <w:endnoteRef/>
      </w:r>
      <w:r w:rsidRPr="00565626">
        <w:rPr>
          <w:rFonts w:ascii="Gill Sans" w:hAnsi="Gill Sans" w:hint="cs"/>
        </w:rPr>
        <w:t xml:space="preserve"> Mari Nikabidze, Chair of the Commercial and Competition Law Committee of the Georgian Bar Association, phone interview with IRM researcher, 28 December 2018</w:t>
      </w:r>
    </w:p>
  </w:endnote>
  <w:endnote w:id="104">
    <w:p w:rsidR="00846D2A" w:rsidRPr="00565626" w:rsidRDefault="00846D2A" w:rsidP="00EA64D5">
      <w:pPr>
        <w:pStyle w:val="EndnoteText"/>
        <w:rPr>
          <w:rFonts w:ascii="Gill Sans" w:hAnsi="Gill Sans"/>
        </w:rPr>
      </w:pPr>
      <w:r w:rsidRPr="00565626">
        <w:rPr>
          <w:rStyle w:val="EndnoteReference"/>
          <w:rFonts w:ascii="Gill Sans" w:hAnsi="Gill Sans" w:hint="cs"/>
          <w:szCs w:val="18"/>
        </w:rPr>
        <w:endnoteRef/>
      </w:r>
      <w:r w:rsidRPr="00565626">
        <w:rPr>
          <w:rFonts w:ascii="Gill Sans" w:hAnsi="Gill Sans" w:hint="cs"/>
        </w:rPr>
        <w:t xml:space="preserve"> Sopo Momtselidze, Head of the Legal Department, Competition Agency, interview with IRM researcher, 10 October 2018</w:t>
      </w:r>
    </w:p>
  </w:endnote>
  <w:endnote w:id="105">
    <w:p w:rsidR="00846D2A" w:rsidRPr="00565626" w:rsidRDefault="00846D2A" w:rsidP="00EA64D5">
      <w:pPr>
        <w:pStyle w:val="EndnoteText"/>
        <w:rPr>
          <w:rFonts w:ascii="Gill Sans" w:hAnsi="Gill Sans"/>
        </w:rPr>
      </w:pPr>
      <w:r w:rsidRPr="00565626">
        <w:rPr>
          <w:rStyle w:val="EndnoteReference"/>
          <w:rFonts w:ascii="Gill Sans" w:hAnsi="Gill Sans" w:hint="cs"/>
        </w:rPr>
        <w:endnoteRef/>
      </w:r>
      <w:r w:rsidRPr="00565626">
        <w:rPr>
          <w:rFonts w:ascii="Gill Sans" w:hAnsi="Gill Sans" w:hint="cs"/>
        </w:rPr>
        <w:t xml:space="preserve"> Vakhtang Shurghaia, Head of the Legal Department at the Insurance Company “Unison” and Executive Secretary at the NNLE “Insurance Network”, phone interview with IRM researcher, 26 December 2018</w:t>
      </w:r>
    </w:p>
  </w:endnote>
  <w:endnote w:id="106">
    <w:p w:rsidR="00846D2A" w:rsidRPr="00546379" w:rsidRDefault="00846D2A" w:rsidP="00EA64D5">
      <w:pPr>
        <w:pStyle w:val="EndnoteText"/>
        <w:rPr>
          <w:rFonts w:ascii="Gill Sans" w:hAnsi="Gill Sans"/>
        </w:rPr>
      </w:pPr>
      <w:r w:rsidRPr="00546379">
        <w:rPr>
          <w:rStyle w:val="EndnoteReference"/>
          <w:rFonts w:ascii="Gill Sans" w:hAnsi="Gill Sans" w:hint="cs"/>
          <w:szCs w:val="18"/>
        </w:rPr>
        <w:endnoteRef/>
      </w:r>
      <w:r w:rsidRPr="00546379">
        <w:rPr>
          <w:rFonts w:ascii="Gill Sans" w:hAnsi="Gill Sans" w:hint="cs"/>
        </w:rPr>
        <w:t xml:space="preserve"> OGP IRM Midterm Report 2017, https://bit.ly/2NIr097</w:t>
      </w:r>
    </w:p>
  </w:endnote>
  <w:endnote w:id="107">
    <w:p w:rsidR="00846D2A" w:rsidRPr="002C23FE" w:rsidRDefault="00846D2A" w:rsidP="00EA64D5">
      <w:pPr>
        <w:pStyle w:val="EndnoteText"/>
      </w:pPr>
      <w:r w:rsidRPr="00546379">
        <w:rPr>
          <w:rFonts w:ascii="Gill Sans" w:hAnsi="Gill Sans" w:hint="cs"/>
          <w:sz w:val="13"/>
          <w:szCs w:val="13"/>
        </w:rPr>
        <w:endnoteRef/>
      </w:r>
      <w:r w:rsidRPr="00546379">
        <w:rPr>
          <w:rFonts w:ascii="Gill Sans" w:hAnsi="Gill Sans" w:hint="cs"/>
        </w:rPr>
        <w:t xml:space="preserve"> Tamar Bazgadze, Leading Specialist in the Legal Department, GNERC, e-mail correspondence with IRM researcher, 12 October 2018</w:t>
      </w:r>
    </w:p>
  </w:endnote>
  <w:endnote w:id="108">
    <w:p w:rsidR="00846D2A" w:rsidRPr="00A124C0" w:rsidRDefault="00846D2A" w:rsidP="00EA64D5">
      <w:pPr>
        <w:pStyle w:val="EndnoteText"/>
        <w:rPr>
          <w:rFonts w:ascii="Gill Sans MT" w:hAnsi="Gill Sans MT"/>
        </w:rPr>
      </w:pPr>
      <w:r w:rsidRPr="00A124C0">
        <w:rPr>
          <w:rStyle w:val="EndnoteReference"/>
          <w:rFonts w:ascii="Gill Sans MT" w:hAnsi="Gill Sans MT"/>
          <w:szCs w:val="18"/>
        </w:rPr>
        <w:endnoteRef/>
      </w:r>
      <w:r w:rsidRPr="00A124C0">
        <w:rPr>
          <w:rFonts w:ascii="Gill Sans MT" w:hAnsi="Gill Sans MT"/>
        </w:rPr>
        <w:t xml:space="preserve"> OGP IRM Midterm Report 2017, https://bit.ly/2NIr097</w:t>
      </w:r>
    </w:p>
  </w:endnote>
  <w:endnote w:id="109">
    <w:p w:rsidR="00846D2A" w:rsidRPr="00A124C0" w:rsidRDefault="00846D2A" w:rsidP="002C23FE">
      <w:pPr>
        <w:rPr>
          <w:rFonts w:ascii="Gill Sans MT" w:eastAsiaTheme="minorHAnsi" w:hAnsi="Gill Sans MT"/>
          <w:sz w:val="18"/>
          <w:szCs w:val="18"/>
          <w:lang w:val="en-GB"/>
        </w:rPr>
      </w:pPr>
      <w:r w:rsidRPr="00A124C0">
        <w:rPr>
          <w:rStyle w:val="EndnoteReference"/>
          <w:rFonts w:ascii="Gill Sans MT" w:hAnsi="Gill Sans MT"/>
          <w:sz w:val="18"/>
          <w:szCs w:val="18"/>
        </w:rPr>
        <w:endnoteRef/>
      </w:r>
      <w:r w:rsidRPr="00A124C0">
        <w:rPr>
          <w:rFonts w:ascii="Gill Sans MT" w:hAnsi="Gill Sans MT"/>
          <w:sz w:val="18"/>
          <w:szCs w:val="18"/>
        </w:rPr>
        <w:t xml:space="preserve"> Tamar Bazgadze, Leading Specialist in the Legal Department, GNERC, phone interview with IRM researcher, 12 October 2018</w:t>
      </w:r>
    </w:p>
    <w:p w:rsidR="00846D2A" w:rsidRPr="002C23FE" w:rsidRDefault="00846D2A" w:rsidP="00EA64D5">
      <w:pPr>
        <w:pStyle w:val="EndnoteText"/>
      </w:pPr>
    </w:p>
  </w:endnote>
  <w:endnote w:id="110">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Georgia National Action Plan 2016-2018, </w:t>
      </w:r>
      <w:hyperlink r:id="rId32" w:history="1">
        <w:r w:rsidRPr="00B91E54">
          <w:rPr>
            <w:rStyle w:val="Hyperlink"/>
            <w:rFonts w:ascii="Gill Sans" w:hAnsi="Gill Sans" w:hint="cs"/>
          </w:rPr>
          <w:t>http://bit.ly/2t2eFxU</w:t>
        </w:r>
      </w:hyperlink>
    </w:p>
  </w:endnote>
  <w:endnote w:id="111">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OGP IRM Midterm Report 2017, </w:t>
      </w:r>
      <w:hyperlink r:id="rId33" w:history="1">
        <w:r w:rsidRPr="00B91E54">
          <w:rPr>
            <w:rStyle w:val="Hyperlink"/>
            <w:rFonts w:ascii="Gill Sans" w:hAnsi="Gill Sans" w:hint="cs"/>
          </w:rPr>
          <w:t>https://bit.ly/2NIr097</w:t>
        </w:r>
      </w:hyperlink>
    </w:p>
  </w:endnote>
  <w:endnote w:id="112">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Giga Kilasonia, Head of the Public Relations and Civil Sector Unit, phone interview with IRM Researcher, 1 November 2018</w:t>
      </w:r>
    </w:p>
  </w:endnote>
  <w:endnote w:id="113">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Archil Todua, Transparency International Zugdidi Regional Office Coordinator, e-mail correspondence, 1 November 2018</w:t>
      </w:r>
    </w:p>
  </w:endnote>
  <w:endnote w:id="114">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Kilasonia, October 2018</w:t>
      </w:r>
    </w:p>
  </w:endnote>
  <w:endnote w:id="115">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National Statistics Office of Georgia, Population by regions and self-governed units: </w:t>
      </w:r>
      <w:hyperlink r:id="rId34" w:history="1">
        <w:r w:rsidRPr="00B91E54">
          <w:rPr>
            <w:rStyle w:val="Hyperlink"/>
            <w:rFonts w:ascii="Gill Sans" w:hAnsi="Gill Sans" w:hint="cs"/>
          </w:rPr>
          <w:t>https://bit.ly/2SnTK5w</w:t>
        </w:r>
      </w:hyperlink>
      <w:r w:rsidRPr="00B91E54">
        <w:rPr>
          <w:rFonts w:ascii="Gill Sans" w:hAnsi="Gill Sans" w:hint="cs"/>
        </w:rPr>
        <w:t xml:space="preserve"> </w:t>
      </w:r>
    </w:p>
    <w:p w:rsidR="00846D2A" w:rsidRPr="00B91E54" w:rsidRDefault="00846D2A" w:rsidP="00EA64D5">
      <w:pPr>
        <w:pStyle w:val="EndnoteText"/>
        <w:rPr>
          <w:rFonts w:ascii="Gill Sans" w:hAnsi="Gill Sans"/>
        </w:rPr>
      </w:pPr>
      <w:r w:rsidRPr="00B91E54">
        <w:rPr>
          <w:rFonts w:ascii="Gill Sans" w:hAnsi="Gill Sans" w:hint="cs"/>
        </w:rPr>
        <w:t>The total population of the Zugdidi municipality is 42, 700, according to the latest National Census data.</w:t>
      </w:r>
    </w:p>
  </w:endnote>
  <w:endnote w:id="116">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CRRC-Georgia, Frequency of internet usage by settlement type: </w:t>
      </w:r>
      <w:hyperlink r:id="rId35" w:history="1">
        <w:r w:rsidRPr="00B91E54">
          <w:rPr>
            <w:rStyle w:val="Hyperlink"/>
            <w:rFonts w:ascii="Gill Sans" w:hAnsi="Gill Sans" w:hint="cs"/>
          </w:rPr>
          <w:t>https://bit.ly/2SCa3M9</w:t>
        </w:r>
      </w:hyperlink>
    </w:p>
  </w:endnote>
  <w:endnote w:id="117">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Zugdidi Municipality website, Electronic petitions portal: </w:t>
      </w:r>
      <w:hyperlink r:id="rId36" w:history="1">
        <w:r w:rsidRPr="00B91E54">
          <w:rPr>
            <w:rFonts w:ascii="Gill Sans" w:hAnsi="Gill Sans" w:hint="cs"/>
          </w:rPr>
          <w:t>http://zugdidi.mun.gov.ge/ge/petitions</w:t>
        </w:r>
      </w:hyperlink>
    </w:p>
  </w:endnote>
  <w:endnote w:id="118">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Kilasonia, November 2018</w:t>
      </w:r>
    </w:p>
  </w:endnote>
  <w:endnote w:id="119">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Kilasonia, November 2018</w:t>
      </w:r>
    </w:p>
  </w:endnote>
  <w:endnote w:id="120">
    <w:p w:rsidR="00846D2A" w:rsidRPr="00B91E54" w:rsidRDefault="00846D2A" w:rsidP="00EA64D5">
      <w:pPr>
        <w:pStyle w:val="EndnoteText"/>
        <w:rPr>
          <w:rFonts w:ascii="Gill Sans" w:hAnsi="Gill Sans"/>
        </w:rPr>
      </w:pPr>
      <w:r w:rsidRPr="00B91E54">
        <w:rPr>
          <w:rStyle w:val="EndnoteReference"/>
          <w:rFonts w:ascii="Gill Sans" w:hAnsi="Gill Sans" w:hint="cs"/>
        </w:rPr>
        <w:endnoteRef/>
      </w:r>
      <w:r w:rsidRPr="00B91E54">
        <w:rPr>
          <w:rFonts w:ascii="Gill Sans" w:hAnsi="Gill Sans" w:hint="cs"/>
        </w:rPr>
        <w:t xml:space="preserve"> The Response of Zugdidi Municipality Assembly to Citizens Petitions, 2017: https://bit.ly/2DTwGrx</w:t>
      </w:r>
    </w:p>
  </w:endnote>
  <w:endnote w:id="121">
    <w:p w:rsidR="00846D2A" w:rsidRPr="00B91E54" w:rsidRDefault="00846D2A" w:rsidP="00EA64D5">
      <w:pPr>
        <w:pStyle w:val="EndnoteText"/>
        <w:rPr>
          <w:rFonts w:ascii="Gill Sans" w:hAnsi="Gill Sans"/>
        </w:rPr>
      </w:pPr>
      <w:r w:rsidRPr="00B91E54">
        <w:rPr>
          <w:rFonts w:ascii="Gill Sans" w:hAnsi="Gill Sans" w:hint="cs"/>
        </w:rPr>
        <w:endnoteRef/>
      </w:r>
      <w:r w:rsidRPr="00B91E54">
        <w:rPr>
          <w:rFonts w:ascii="Gill Sans" w:hAnsi="Gill Sans" w:hint="cs"/>
        </w:rPr>
        <w:t xml:space="preserve"> Georgia Draft National Action Plan 2018-2019. </w:t>
      </w:r>
    </w:p>
  </w:endnote>
  <w:endnote w:id="122">
    <w:p w:rsidR="00846D2A" w:rsidRPr="00B91E54" w:rsidRDefault="00846D2A" w:rsidP="00EA64D5">
      <w:pPr>
        <w:pStyle w:val="EndnoteText"/>
        <w:rPr>
          <w:rFonts w:ascii="Gill Sans" w:hAnsi="Gill Sans"/>
        </w:rPr>
      </w:pPr>
      <w:r w:rsidRPr="00B91E54">
        <w:rPr>
          <w:rFonts w:ascii="Gill Sans" w:hAnsi="Gill Sans" w:hint="cs"/>
        </w:rPr>
        <w:endnoteRef/>
      </w:r>
      <w:r w:rsidRPr="00B91E54">
        <w:rPr>
          <w:rFonts w:ascii="Gill Sans" w:hAnsi="Gill Sans" w:hint="cs"/>
        </w:rPr>
        <w:t xml:space="preserve"> Konstantine Kakava, Member of Zugdidi Municipality Assembly, phone interview with IRM Researcher, 1 November, 2018</w:t>
      </w:r>
    </w:p>
  </w:endnote>
  <w:endnote w:id="123">
    <w:p w:rsidR="00846D2A" w:rsidRDefault="00846D2A" w:rsidP="00EA64D5">
      <w:pPr>
        <w:pStyle w:val="EndnoteText"/>
      </w:pPr>
      <w:r w:rsidRPr="00B91E54">
        <w:rPr>
          <w:rFonts w:ascii="Gill Sans" w:hAnsi="Gill Sans" w:hint="cs"/>
        </w:rPr>
        <w:endnoteRef/>
      </w:r>
      <w:r w:rsidRPr="00B91E54">
        <w:rPr>
          <w:rFonts w:ascii="Gill Sans" w:hAnsi="Gill Sans" w:hint="cs"/>
        </w:rPr>
        <w:t xml:space="preserve">CRRC-Georgia, Frequency of internet usage by settlement type: </w:t>
      </w:r>
      <w:hyperlink r:id="rId37" w:history="1">
        <w:r w:rsidRPr="00B91E54">
          <w:rPr>
            <w:rFonts w:ascii="Gill Sans" w:hAnsi="Gill Sans" w:hint="cs"/>
          </w:rPr>
          <w:t>https://bit.ly/2SCa3M9</w:t>
        </w:r>
      </w:hyperlink>
    </w:p>
  </w:endnote>
  <w:endnote w:id="124">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Nana Tavdumadze, Chief of Staff, Ozurgeti Municipality Assembly, phone interview with IRM researcher, 25 October, 2018</w:t>
      </w:r>
    </w:p>
  </w:endnote>
  <w:endnote w:id="125">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Ozurgeti Municipality website, “Manage from Home” live transmission of Assembly meetings: </w:t>
      </w:r>
      <w:hyperlink r:id="rId38" w:history="1">
        <w:r w:rsidRPr="00C73F01">
          <w:rPr>
            <w:rStyle w:val="Hyperlink"/>
            <w:rFonts w:ascii="Gill Sans MT" w:hAnsi="Gill Sans MT"/>
          </w:rPr>
          <w:t>http://ozurgeti.mun.gov.ge/ge/live</w:t>
        </w:r>
      </w:hyperlink>
    </w:p>
  </w:endnote>
  <w:endnote w:id="126">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Ozurgeti Municipality Assembly webpage, video gallery, </w:t>
      </w:r>
      <w:hyperlink r:id="rId39" w:history="1">
        <w:r w:rsidRPr="00C73F01">
          <w:rPr>
            <w:rStyle w:val="Hyperlink"/>
            <w:rFonts w:ascii="Gill Sans MT" w:hAnsi="Gill Sans MT"/>
          </w:rPr>
          <w:t>http://oz.gov.ge/ge/pages/view/video</w:t>
        </w:r>
      </w:hyperlink>
    </w:p>
  </w:endnote>
  <w:endnote w:id="127">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Tavdumadze, October 2018</w:t>
      </w:r>
    </w:p>
  </w:endnote>
  <w:endnote w:id="128">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Tavdumadze, October 2018</w:t>
      </w:r>
    </w:p>
  </w:endnote>
  <w:endnote w:id="129">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National Statistics Office of Georgia, Population by regions and self-governed units, 2017: </w:t>
      </w:r>
      <w:hyperlink r:id="rId40" w:history="1">
        <w:r w:rsidRPr="00C73F01">
          <w:rPr>
            <w:rStyle w:val="Hyperlink"/>
            <w:rFonts w:ascii="Gill Sans MT" w:hAnsi="Gill Sans MT"/>
          </w:rPr>
          <w:t>https://bit.ly/2SnTK5w</w:t>
        </w:r>
      </w:hyperlink>
    </w:p>
  </w:endnote>
  <w:endnote w:id="130">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Ozurgeti Municipality website, online survey: </w:t>
      </w:r>
      <w:hyperlink r:id="rId41" w:history="1">
        <w:r w:rsidRPr="00C73F01">
          <w:rPr>
            <w:rStyle w:val="Hyperlink"/>
            <w:rFonts w:ascii="Gill Sans MT" w:hAnsi="Gill Sans MT"/>
          </w:rPr>
          <w:t>https://bit.ly/2qeXlpM</w:t>
        </w:r>
      </w:hyperlink>
    </w:p>
  </w:endnote>
  <w:endnote w:id="131">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Tavdumadze, October 2018</w:t>
      </w:r>
    </w:p>
  </w:endnote>
  <w:endnote w:id="132">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Georgia National Action Plan 2016-2018, http://bit.ly/2t2eFxU</w:t>
      </w:r>
    </w:p>
  </w:endnote>
  <w:endnote w:id="133">
    <w:p w:rsidR="00846D2A" w:rsidRDefault="00846D2A">
      <w:pPr>
        <w:pStyle w:val="EndnoteText"/>
      </w:pPr>
      <w:r w:rsidRPr="00291255">
        <w:rPr>
          <w:rStyle w:val="EndnoteReference"/>
        </w:rPr>
        <w:endnoteRef/>
      </w:r>
      <w:r w:rsidRPr="00291255">
        <w:rPr>
          <w:rFonts w:ascii="Gill Sans MT" w:hAnsi="Gill Sans MT"/>
          <w:sz w:val="16"/>
          <w:szCs w:val="16"/>
        </w:rPr>
        <w:t xml:space="preserve"> </w:t>
      </w:r>
      <w:r>
        <w:rPr>
          <w:rFonts w:ascii="Gill Sans MT" w:hAnsi="Gill Sans MT"/>
        </w:rPr>
        <w:t>Tavdumadze, October 2018</w:t>
      </w:r>
    </w:p>
  </w:endnote>
  <w:endnote w:id="134">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Tavdumadze, October 2018</w:t>
      </w:r>
    </w:p>
  </w:endnote>
  <w:endnote w:id="135">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Levan Khintibidze, Democratic Development Union of Georgia, 28 October 2018</w:t>
      </w:r>
    </w:p>
  </w:endnote>
  <w:endnote w:id="136">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Mindia Salukvadze, “Progress House”, phone interview with IRM researcher, 25 October, 2018</w:t>
      </w:r>
    </w:p>
  </w:endnote>
  <w:endnote w:id="137">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Salukvadze, October 2018</w:t>
      </w:r>
    </w:p>
  </w:endnote>
  <w:endnote w:id="138">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CRRC-Georgia, Frequency of internet usage by settlement type: </w:t>
      </w:r>
      <w:hyperlink r:id="rId42" w:history="1">
        <w:r w:rsidRPr="00C73F01">
          <w:rPr>
            <w:rStyle w:val="Hyperlink"/>
            <w:rFonts w:ascii="Gill Sans MT" w:hAnsi="Gill Sans MT"/>
          </w:rPr>
          <w:t>https://bit.ly/2SCa3M9</w:t>
        </w:r>
      </w:hyperlink>
    </w:p>
  </w:endnote>
  <w:endnote w:id="139">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Khintibidze, October 2018</w:t>
      </w:r>
    </w:p>
  </w:endnote>
  <w:endnote w:id="140">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Tamar Glonti, Guria Youth Resource Center, phone interview with IRM researcher, 25 October 2018.</w:t>
      </w:r>
    </w:p>
  </w:endnote>
  <w:endnote w:id="141">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Focus Group with the local population, Ozurgeti, 22 October 2018</w:t>
      </w:r>
    </w:p>
  </w:endnote>
  <w:endnote w:id="142">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Glonti, October 2018</w:t>
      </w:r>
    </w:p>
  </w:endnote>
  <w:endnote w:id="143">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Europe Foundation website, “House of Progress in Guria”, </w:t>
      </w:r>
      <w:hyperlink r:id="rId43" w:history="1">
        <w:r w:rsidRPr="00C73F01">
          <w:rPr>
            <w:rStyle w:val="Hyperlink"/>
            <w:rFonts w:ascii="Gill Sans MT" w:hAnsi="Gill Sans MT"/>
          </w:rPr>
          <w:t>https://bit.ly/2DkfzQ2</w:t>
        </w:r>
      </w:hyperlink>
      <w:r w:rsidRPr="00C73F01">
        <w:rPr>
          <w:rFonts w:ascii="Gill Sans MT" w:hAnsi="Gill Sans MT"/>
        </w:rPr>
        <w:t xml:space="preserve">. </w:t>
      </w:r>
    </w:p>
  </w:endnote>
  <w:endnote w:id="144">
    <w:p w:rsidR="00846D2A" w:rsidRPr="00C73F01" w:rsidRDefault="00846D2A"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OGP IRM Midterm Report 2017, </w:t>
      </w:r>
      <w:hyperlink r:id="rId44" w:history="1">
        <w:r w:rsidRPr="00C73F01">
          <w:rPr>
            <w:rStyle w:val="Hyperlink"/>
            <w:rFonts w:ascii="Gill Sans MT" w:hAnsi="Gill Sans MT"/>
          </w:rPr>
          <w:t>https://bit.ly/2NIr097</w:t>
        </w:r>
      </w:hyperlink>
    </w:p>
    <w:p w:rsidR="00846D2A" w:rsidRPr="001504BD" w:rsidRDefault="00846D2A" w:rsidP="003F30AE">
      <w:pPr>
        <w:pStyle w:val="NormalWeb"/>
        <w:rPr>
          <w:rFonts w:ascii="Gill Sans" w:hAnsi="Gill Sans" w:cs="Gill Sans"/>
          <w:iCs/>
          <w:color w:val="212121"/>
          <w:sz w:val="22"/>
          <w:szCs w:val="22"/>
        </w:rPr>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p w:rsidR="00846D2A" w:rsidRDefault="00846D2A" w:rsidP="00EA64D5">
      <w:pPr>
        <w:pStyle w:val="EndnoteText"/>
      </w:pPr>
    </w:p>
  </w:endnote>
  <w:endnote w:id="145">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Nana Tavdumadze, Chief of Staff, Ozurgeti Municipality Assembly, phone interview with IRM researcher, 3 August 2017 in IRM: Georgia Progress Report 2016-2017</w:t>
      </w:r>
    </w:p>
  </w:endnote>
  <w:endnote w:id="146">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Decree #21 of Kutaisi Municipality Assembly on adoption of Kutaisi Municipality Budget 2018 </w:t>
      </w:r>
      <w:hyperlink r:id="rId45" w:history="1">
        <w:r w:rsidRPr="00996E98">
          <w:rPr>
            <w:rFonts w:ascii="Gill Sans MT" w:hAnsi="Gill Sans MT"/>
          </w:rPr>
          <w:t>https://bit.ly/2Ri8UI2</w:t>
        </w:r>
      </w:hyperlink>
    </w:p>
  </w:endnote>
  <w:endnote w:id="147">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Decree #44 of Ozurgeti Municipality Assembly on adoption of Ozurgeti Municipality Budget 2018 </w:t>
      </w:r>
      <w:hyperlink r:id="rId46" w:history="1">
        <w:r w:rsidRPr="00996E98">
          <w:rPr>
            <w:rStyle w:val="Hyperlink"/>
            <w:rFonts w:ascii="Gill Sans MT" w:hAnsi="Gill Sans MT"/>
          </w:rPr>
          <w:t>https://bit.ly/2AtTL0M</w:t>
        </w:r>
      </w:hyperlink>
    </w:p>
  </w:endnote>
  <w:endnote w:id="148">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Decree #28 of Akhaltsikhe Municipality Assembly on Adoption of Akhaltsikhe Municipality Budget 2018 https://bit.ly/2CL0S6v</w:t>
      </w:r>
    </w:p>
  </w:endnote>
  <w:endnote w:id="149">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Decree #41 of Batumi Municipality Assembly on Adoption of Batumi Municipality Budget 2018 </w:t>
      </w:r>
      <w:hyperlink r:id="rId47" w:history="1">
        <w:r w:rsidRPr="00996E98">
          <w:rPr>
            <w:rStyle w:val="Hyperlink"/>
            <w:rFonts w:ascii="Gill Sans MT" w:hAnsi="Gill Sans MT"/>
          </w:rPr>
          <w:t>https://bit.ly/2PnoipA</w:t>
        </w:r>
      </w:hyperlink>
    </w:p>
  </w:endnote>
  <w:endnote w:id="150">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Mikheil Darchiashvili, Governance Program Manager, Levan Samadashvili, Deputy Chief of Party, Tetra Tech ARD, 19 October, 2017</w:t>
      </w:r>
    </w:p>
  </w:endnote>
  <w:endnote w:id="151">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VOLIS portal, </w:t>
      </w:r>
      <w:hyperlink r:id="rId48" w:history="1">
        <w:r w:rsidRPr="00996E98">
          <w:rPr>
            <w:rStyle w:val="Hyperlink"/>
            <w:rFonts w:ascii="Gill Sans MT" w:hAnsi="Gill Sans MT"/>
          </w:rPr>
          <w:t>https://bit.ly/2yILd54</w:t>
        </w:r>
      </w:hyperlink>
    </w:p>
  </w:endnote>
  <w:endnote w:id="152">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Ednar Nataridze, Head of the Financial Department, Batumi Town Hall, phone interview with IRM researcher, 28 October 2018</w:t>
      </w:r>
    </w:p>
  </w:endnote>
  <w:endnote w:id="153">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Tavdumadze, October, 2018</w:t>
      </w:r>
    </w:p>
  </w:endnote>
  <w:endnote w:id="154">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Transparency International Georgia, </w:t>
      </w:r>
      <w:hyperlink r:id="rId49" w:history="1">
        <w:r w:rsidRPr="00996E98">
          <w:rPr>
            <w:rStyle w:val="Hyperlink"/>
            <w:rFonts w:ascii="Gill Sans MT" w:hAnsi="Gill Sans MT"/>
          </w:rPr>
          <w:t>https://bit.ly/2P29W9B</w:t>
        </w:r>
      </w:hyperlink>
      <w:r w:rsidRPr="00996E98">
        <w:rPr>
          <w:rFonts w:ascii="Gill Sans MT" w:hAnsi="Gill Sans MT"/>
        </w:rPr>
        <w:t>, accessed November 23 2018</w:t>
      </w:r>
    </w:p>
  </w:endnote>
  <w:endnote w:id="155">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Nino Tvaltvadze, Deputy Mayor, Kutaisi City Hall, phone interview with IRM Researcher, 29 October 2018</w:t>
      </w:r>
    </w:p>
  </w:endnote>
  <w:endnote w:id="156">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Guram Melikidze, Deputy Mayor of Akhaltsikhe Municipality Town Hall, phone interview with IRM Researcher, 29 October 2018</w:t>
      </w:r>
    </w:p>
  </w:endnote>
  <w:endnote w:id="157">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Information System of the Local Government Councils (VOLIS) </w:t>
      </w:r>
      <w:hyperlink r:id="rId50" w:history="1">
        <w:r w:rsidRPr="00996E98">
          <w:rPr>
            <w:rStyle w:val="Hyperlink"/>
            <w:rFonts w:ascii="Gill Sans MT" w:hAnsi="Gill Sans MT"/>
          </w:rPr>
          <w:t>https://bit.ly/2Q60HGT</w:t>
        </w:r>
      </w:hyperlink>
    </w:p>
  </w:endnote>
  <w:endnote w:id="158">
    <w:p w:rsidR="00846D2A" w:rsidRPr="00996E98" w:rsidRDefault="00846D2A" w:rsidP="00EA64D5">
      <w:pPr>
        <w:pStyle w:val="EndnoteText"/>
        <w:rPr>
          <w:rFonts w:ascii="Gill Sans MT" w:hAnsi="Gill Sans MT"/>
        </w:rPr>
      </w:pPr>
      <w:r w:rsidRPr="00996E98">
        <w:rPr>
          <w:rFonts w:ascii="Gill Sans MT" w:hAnsi="Gill Sans MT"/>
          <w:vertAlign w:val="superscript"/>
        </w:rPr>
        <w:endnoteRef/>
      </w:r>
      <w:r w:rsidRPr="00996E98">
        <w:rPr>
          <w:rFonts w:ascii="Gill Sans MT" w:hAnsi="Gill Sans MT"/>
        </w:rPr>
        <w:t xml:space="preserve"> Mikheil Darchiashvili, Governance Program Manager, Levan Samadashvili, Deputy Chief of Party, Tetra Tech ARD, 19 October, 2018</w:t>
      </w:r>
    </w:p>
  </w:endnote>
  <w:endnote w:id="159">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Tvaltvadze, October, 2018.</w:t>
      </w:r>
    </w:p>
  </w:endnote>
  <w:endnote w:id="160">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For more information, see Commitment 3 in IRM Tbilisi, Georgia Final Report 2017: </w:t>
      </w:r>
      <w:hyperlink r:id="rId51" w:history="1">
        <w:r w:rsidRPr="00996E98">
          <w:rPr>
            <w:rFonts w:ascii="Gill Sans MT" w:hAnsi="Gill Sans MT"/>
          </w:rPr>
          <w:t>https://bit.ly/2PPUsLg</w:t>
        </w:r>
      </w:hyperlink>
      <w:r w:rsidRPr="00996E98">
        <w:rPr>
          <w:rFonts w:ascii="Gill Sans MT" w:hAnsi="Gill Sans MT"/>
          <w:color w:val="A3AAAE"/>
          <w:sz w:val="23"/>
          <w:szCs w:val="23"/>
        </w:rPr>
        <w:t xml:space="preserve"> </w:t>
      </w:r>
    </w:p>
  </w:endnote>
  <w:endnote w:id="161">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State Development Agency: https://sda.gov.ge/?lang=en</w:t>
      </w:r>
    </w:p>
  </w:endnote>
  <w:endnote w:id="162">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The Ministry of Economy and Sustainable Development: https://bit.ly/2zqmB1o</w:t>
      </w:r>
    </w:p>
  </w:endnote>
  <w:endnote w:id="163">
    <w:p w:rsidR="00846D2A" w:rsidRPr="00996E98" w:rsidRDefault="00846D2A"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Municipal Development Fund: http://mdf.org.ge/?site-path=fund/about/&amp;site-lang=en</w:t>
      </w:r>
    </w:p>
  </w:endnote>
  <w:endnote w:id="164">
    <w:p w:rsidR="00846D2A" w:rsidRDefault="00846D2A" w:rsidP="00EA64D5">
      <w:pPr>
        <w:pStyle w:val="EndnoteText"/>
      </w:pPr>
      <w:r w:rsidRPr="00996E98">
        <w:rPr>
          <w:rStyle w:val="EndnoteReference"/>
          <w:rFonts w:ascii="Gill Sans MT" w:hAnsi="Gill Sans MT"/>
        </w:rPr>
        <w:endnoteRef/>
      </w:r>
      <w:r w:rsidRPr="00996E98">
        <w:rPr>
          <w:rFonts w:ascii="Gill Sans MT" w:hAnsi="Gill Sans MT"/>
        </w:rPr>
        <w:t xml:space="preserve"> Saba Buadze, IDFI, Anti-Corruption Direction Head, interview with IRM researcher, November 1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Segoe UI Semilight"/>
    <w:charset w:val="B1"/>
    <w:family w:val="swiss"/>
    <w:pitch w:val="variable"/>
    <w:sig w:usb0="00000000" w:usb1="00000000" w:usb2="00000000" w:usb3="00000000" w:csb0="000001F7" w:csb1="00000000"/>
  </w:font>
  <w:font w:name="Garamond">
    <w:panose1 w:val="020204040303010108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dobe Caslon Pro">
    <w:altName w:val="Palatino Linotype"/>
    <w:charset w:val="00"/>
    <w:family w:val="auto"/>
    <w:pitch w:val="default"/>
  </w:font>
  <w:font w:name="Gill Sans SemiBold">
    <w:altName w:val="Segoe UI Semibold"/>
    <w:charset w:val="00"/>
    <w:family w:val="swiss"/>
    <w:pitch w:val="variable"/>
    <w:sig w:usb0="00000001" w:usb1="5000004A" w:usb2="00000000" w:usb3="00000000" w:csb0="00000005" w:csb1="00000000"/>
  </w:font>
  <w:font w:name="Times">
    <w:panose1 w:val="02020603050405020304"/>
    <w:charset w:val="00"/>
    <w:family w:val="auto"/>
    <w:pitch w:val="variable"/>
    <w:sig w:usb0="00000003" w:usb1="00000000" w:usb2="00000000" w:usb3="00000000" w:csb0="00000007" w:csb1="00000000"/>
  </w:font>
  <w:font w:name="MS PGothic">
    <w:panose1 w:val="020B0600070205080204"/>
    <w:charset w:val="80"/>
    <w:family w:val="swiss"/>
    <w:pitch w:val="variable"/>
    <w:sig w:usb0="E00002FF" w:usb1="6AC7FDFB" w:usb2="00000012" w:usb3="00000000" w:csb0="0002009F" w:csb1="00000000"/>
  </w:font>
  <w:font w:name="ヒラギノ角ゴ Pro W3">
    <w:altName w:val="Yu Gothic"/>
    <w:charset w:val="80"/>
    <w:family w:val="swiss"/>
    <w:pitch w:val="variable"/>
    <w:sig w:usb0="E00002FF" w:usb1="7AC7FFFF" w:usb2="00000012" w:usb3="00000000" w:csb0="0002000D" w:csb1="00000000"/>
  </w:font>
  <w:font w:name="Zapf Dingbats">
    <w:altName w:val="Wingdings 2"/>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Menlo Bold">
    <w:altName w:val="Arial"/>
    <w:charset w:val="00"/>
    <w:family w:val="auto"/>
    <w:pitch w:val="variable"/>
    <w:sig w:usb0="00000000" w:usb1="D000F1FB" w:usb2="00000028" w:usb3="00000000" w:csb0="000001DF" w:csb1="00000000"/>
  </w:font>
  <w:font w:name="Sylfaen">
    <w:panose1 w:val="010A0502050306030303"/>
    <w:charset w:val="CC"/>
    <w:family w:val="roman"/>
    <w:pitch w:val="variable"/>
    <w:sig w:usb0="04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ple Color Emoji">
    <w:altName w:val="MS Mincho"/>
    <w:charset w:val="00"/>
    <w:family w:val="auto"/>
    <w:pitch w:val="variable"/>
    <w:sig w:usb0="00000003" w:usb1="18000000" w:usb2="14000000" w:usb3="00000000" w:csb0="00000001" w:csb1="00000000"/>
  </w:font>
  <w:font w:name="Menlo Regular">
    <w:altName w:val="Arial"/>
    <w:charset w:val="00"/>
    <w:family w:val="modern"/>
    <w:pitch w:val="fixed"/>
    <w:sig w:usb0="00000000" w:usb1="D200F9FB" w:usb2="02000028"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2A" w:rsidRDefault="00846D2A" w:rsidP="00677C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6D2A" w:rsidRDefault="00846D2A" w:rsidP="00677CF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2A" w:rsidRDefault="00846D2A" w:rsidP="00677C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3716">
      <w:rPr>
        <w:rStyle w:val="PageNumber"/>
        <w:noProof/>
      </w:rPr>
      <w:t>17</w:t>
    </w:r>
    <w:r>
      <w:rPr>
        <w:rStyle w:val="PageNumber"/>
      </w:rPr>
      <w:fldChar w:fldCharType="end"/>
    </w:r>
  </w:p>
  <w:p w:rsidR="00846D2A" w:rsidRPr="00CC6C4C" w:rsidRDefault="00846D2A" w:rsidP="00677CF0">
    <w:pPr>
      <w:tabs>
        <w:tab w:val="center" w:pos="4320"/>
        <w:tab w:val="right" w:pos="864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2A" w:rsidRDefault="00846D2A" w:rsidP="004B1C12">
    <w:pPr>
      <w:pStyle w:val="Footer"/>
      <w:spacing w:after="120"/>
      <w:ind w:right="1152"/>
    </w:pPr>
    <w:r w:rsidRPr="00E74122">
      <w:t xml:space="preserve">This report was prepared by </w:t>
    </w:r>
    <w:r>
      <w:t>Lasha Gogidze, Tamar Gzirishvili</w:t>
    </w:r>
    <w:r w:rsidRPr="00E74122" w:rsidDel="00E55D41">
      <w:t xml:space="preserve"> </w:t>
    </w:r>
    <w:r>
      <w:t>and Mariam Sikharulidze</w:t>
    </w:r>
  </w:p>
  <w:p w:rsidR="00846D2A" w:rsidRDefault="00846D2A" w:rsidP="004B1C12">
    <w:pPr>
      <w:spacing w:after="120"/>
      <w:ind w:right="115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2A" w:rsidRDefault="00846D2A" w:rsidP="003F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6D2A" w:rsidRDefault="00846D2A" w:rsidP="003F30A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2A" w:rsidRDefault="00846D2A" w:rsidP="003F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3716">
      <w:rPr>
        <w:rStyle w:val="PageNumber"/>
        <w:noProof/>
      </w:rPr>
      <w:t>94</w:t>
    </w:r>
    <w:r>
      <w:rPr>
        <w:rStyle w:val="PageNumber"/>
      </w:rPr>
      <w:fldChar w:fldCharType="end"/>
    </w:r>
  </w:p>
  <w:p w:rsidR="00846D2A" w:rsidRDefault="00846D2A" w:rsidP="003F30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E72" w:rsidRDefault="008C7E72" w:rsidP="008F072B">
      <w:r>
        <w:separator/>
      </w:r>
    </w:p>
  </w:footnote>
  <w:footnote w:type="continuationSeparator" w:id="0">
    <w:p w:rsidR="008C7E72" w:rsidRDefault="008C7E72" w:rsidP="008F072B">
      <w:r>
        <w:continuationSeparator/>
      </w:r>
    </w:p>
  </w:footnote>
  <w:footnote w:type="continuationNotice" w:id="1">
    <w:p w:rsidR="008C7E72" w:rsidRDefault="008C7E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2A" w:rsidRDefault="00846D2A">
    <w:pPr>
      <w:pStyle w:val="Header"/>
    </w:pPr>
    <w:r>
      <w:rPr>
        <w:rFonts w:hint="eastAsia"/>
      </w:rPr>
      <w:ptab w:relativeTo="margin" w:alignment="right" w:leader="none"/>
    </w:r>
    <w:r>
      <w:t xml:space="preserve">EMBARGOED For PRE-Publication review: Do Not Cite or Circulate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ssl.gstatic.com/ui/v1/icons/mail/images/cleardot.gif" style="width:.85pt;height:.85pt;visibility:visible;mso-wrap-style:square" o:bullet="t">
        <v:imagedata r:id="rId1" o:title="cleardot"/>
      </v:shape>
    </w:pict>
  </w:numPicBullet>
  <w:abstractNum w:abstractNumId="0">
    <w:nsid w:val="FFFFFF89"/>
    <w:multiLevelType w:val="singleLevel"/>
    <w:tmpl w:val="B21A3A5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2286A"/>
    <w:multiLevelType w:val="hybridMultilevel"/>
    <w:tmpl w:val="32A43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0189B"/>
    <w:multiLevelType w:val="hybridMultilevel"/>
    <w:tmpl w:val="0D0CF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115B7"/>
    <w:multiLevelType w:val="hybridMultilevel"/>
    <w:tmpl w:val="98A2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70769"/>
    <w:multiLevelType w:val="multilevel"/>
    <w:tmpl w:val="E52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45887"/>
    <w:multiLevelType w:val="hybridMultilevel"/>
    <w:tmpl w:val="78BC4CD4"/>
    <w:lvl w:ilvl="0" w:tplc="01927D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0443F"/>
    <w:multiLevelType w:val="hybridMultilevel"/>
    <w:tmpl w:val="B28C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EF2D4D"/>
    <w:multiLevelType w:val="hybridMultilevel"/>
    <w:tmpl w:val="334EC7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61CBC"/>
    <w:multiLevelType w:val="hybridMultilevel"/>
    <w:tmpl w:val="138C4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F6580"/>
    <w:multiLevelType w:val="hybridMultilevel"/>
    <w:tmpl w:val="480C4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53692"/>
    <w:multiLevelType w:val="hybridMultilevel"/>
    <w:tmpl w:val="03BA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73E18"/>
    <w:multiLevelType w:val="hybridMultilevel"/>
    <w:tmpl w:val="A136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D55F6"/>
    <w:multiLevelType w:val="hybridMultilevel"/>
    <w:tmpl w:val="27EA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729CB"/>
    <w:multiLevelType w:val="hybridMultilevel"/>
    <w:tmpl w:val="2DDCC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624979"/>
    <w:multiLevelType w:val="hybridMultilevel"/>
    <w:tmpl w:val="29365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34FA3"/>
    <w:multiLevelType w:val="hybridMultilevel"/>
    <w:tmpl w:val="CA20B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3824EC"/>
    <w:multiLevelType w:val="hybridMultilevel"/>
    <w:tmpl w:val="6FF4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9275E"/>
    <w:multiLevelType w:val="hybridMultilevel"/>
    <w:tmpl w:val="32A43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11F2F"/>
    <w:multiLevelType w:val="multilevel"/>
    <w:tmpl w:val="A3EAE32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EB3290"/>
    <w:multiLevelType w:val="hybridMultilevel"/>
    <w:tmpl w:val="3ECA499E"/>
    <w:lvl w:ilvl="0" w:tplc="6E924FAE">
      <w:numFmt w:val="bullet"/>
      <w:lvlText w:val=""/>
      <w:lvlJc w:val="left"/>
      <w:pPr>
        <w:ind w:left="720" w:hanging="360"/>
      </w:pPr>
      <w:rPr>
        <w:rFonts w:ascii="Symbol" w:eastAsiaTheme="minorEastAsia" w:hAnsi="Symbol"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3157A"/>
    <w:multiLevelType w:val="hybridMultilevel"/>
    <w:tmpl w:val="20EA1F38"/>
    <w:lvl w:ilvl="0" w:tplc="23EEDE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E3612"/>
    <w:multiLevelType w:val="hybridMultilevel"/>
    <w:tmpl w:val="9E3A92AE"/>
    <w:lvl w:ilvl="0" w:tplc="8A72B5CC">
      <w:start w:val="1"/>
      <w:numFmt w:val="bullet"/>
      <w:pStyle w:val="ListParagraph"/>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40F549B2"/>
    <w:multiLevelType w:val="hybridMultilevel"/>
    <w:tmpl w:val="8D4C2A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982318"/>
    <w:multiLevelType w:val="hybridMultilevel"/>
    <w:tmpl w:val="EAC4E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1A24FD"/>
    <w:multiLevelType w:val="hybridMultilevel"/>
    <w:tmpl w:val="6BF28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7D88333A">
      <w:start w:val="1"/>
      <w:numFmt w:val="bullet"/>
      <w:lvlText w:val="-"/>
      <w:lvlJc w:val="left"/>
      <w:pPr>
        <w:ind w:left="2160" w:hanging="360"/>
      </w:pPr>
      <w:rPr>
        <w:rFonts w:ascii="Gill Sans" w:eastAsiaTheme="minorEastAsia" w:hAnsi="Gill Sans" w:cs="Gill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9C2DCF"/>
    <w:multiLevelType w:val="hybridMultilevel"/>
    <w:tmpl w:val="96A47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64765"/>
    <w:multiLevelType w:val="hybridMultilevel"/>
    <w:tmpl w:val="72A22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C5147B"/>
    <w:multiLevelType w:val="hybridMultilevel"/>
    <w:tmpl w:val="480C4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7F2B63"/>
    <w:multiLevelType w:val="hybridMultilevel"/>
    <w:tmpl w:val="3AEC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BE0512"/>
    <w:multiLevelType w:val="hybridMultilevel"/>
    <w:tmpl w:val="96A47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040C4"/>
    <w:multiLevelType w:val="hybridMultilevel"/>
    <w:tmpl w:val="D5EC381C"/>
    <w:lvl w:ilvl="0" w:tplc="01927D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131D37"/>
    <w:multiLevelType w:val="hybridMultilevel"/>
    <w:tmpl w:val="0BFC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013ECE"/>
    <w:multiLevelType w:val="hybridMultilevel"/>
    <w:tmpl w:val="2BF823CE"/>
    <w:lvl w:ilvl="0" w:tplc="01927D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A37867"/>
    <w:multiLevelType w:val="hybridMultilevel"/>
    <w:tmpl w:val="35F462E4"/>
    <w:lvl w:ilvl="0" w:tplc="9FB0A1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837C5A"/>
    <w:multiLevelType w:val="multilevel"/>
    <w:tmpl w:val="ABAC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A27EEF"/>
    <w:multiLevelType w:val="hybridMultilevel"/>
    <w:tmpl w:val="EB965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7"/>
  </w:num>
  <w:num w:numId="4">
    <w:abstractNumId w:val="10"/>
  </w:num>
  <w:num w:numId="5">
    <w:abstractNumId w:val="3"/>
  </w:num>
  <w:num w:numId="6">
    <w:abstractNumId w:val="5"/>
  </w:num>
  <w:num w:numId="7">
    <w:abstractNumId w:val="30"/>
  </w:num>
  <w:num w:numId="8">
    <w:abstractNumId w:val="35"/>
  </w:num>
  <w:num w:numId="9">
    <w:abstractNumId w:val="21"/>
  </w:num>
  <w:num w:numId="10">
    <w:abstractNumId w:val="4"/>
  </w:num>
  <w:num w:numId="11">
    <w:abstractNumId w:val="24"/>
  </w:num>
  <w:num w:numId="12">
    <w:abstractNumId w:val="28"/>
  </w:num>
  <w:num w:numId="13">
    <w:abstractNumId w:val="16"/>
  </w:num>
  <w:num w:numId="14">
    <w:abstractNumId w:val="33"/>
  </w:num>
  <w:num w:numId="15">
    <w:abstractNumId w:val="32"/>
  </w:num>
  <w:num w:numId="16">
    <w:abstractNumId w:val="20"/>
  </w:num>
  <w:num w:numId="17">
    <w:abstractNumId w:val="2"/>
  </w:num>
  <w:num w:numId="18">
    <w:abstractNumId w:val="22"/>
  </w:num>
  <w:num w:numId="19">
    <w:abstractNumId w:val="14"/>
  </w:num>
  <w:num w:numId="20">
    <w:abstractNumId w:val="29"/>
  </w:num>
  <w:num w:numId="21">
    <w:abstractNumId w:val="25"/>
  </w:num>
  <w:num w:numId="22">
    <w:abstractNumId w:val="12"/>
  </w:num>
  <w:num w:numId="23">
    <w:abstractNumId w:val="23"/>
  </w:num>
  <w:num w:numId="24">
    <w:abstractNumId w:val="9"/>
  </w:num>
  <w:num w:numId="25">
    <w:abstractNumId w:val="27"/>
  </w:num>
  <w:num w:numId="26">
    <w:abstractNumId w:val="11"/>
  </w:num>
  <w:num w:numId="27">
    <w:abstractNumId w:val="15"/>
  </w:num>
  <w:num w:numId="28">
    <w:abstractNumId w:val="26"/>
  </w:num>
  <w:num w:numId="29">
    <w:abstractNumId w:val="1"/>
  </w:num>
  <w:num w:numId="30">
    <w:abstractNumId w:val="17"/>
  </w:num>
  <w:num w:numId="31">
    <w:abstractNumId w:val="8"/>
  </w:num>
  <w:num w:numId="32">
    <w:abstractNumId w:val="6"/>
  </w:num>
  <w:num w:numId="33">
    <w:abstractNumId w:val="13"/>
  </w:num>
  <w:num w:numId="34">
    <w:abstractNumId w:val="34"/>
  </w:num>
  <w:num w:numId="35">
    <w:abstractNumId w:val="31"/>
  </w:num>
  <w:num w:numId="3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6"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1" w:cryptProviderType="rsaAES" w:cryptAlgorithmClass="hash" w:cryptAlgorithmType="typeAny" w:cryptAlgorithmSid="14" w:cryptSpinCount="100000" w:hash="Gd3aIHNJbfcl7Bz/9oHhbWy/dPiBJdi6Lcn8Px19Fcl0Xrke8IQdwGBGvKzXeUGbcg80hWb+WuIZ0tZ4dgESbQ==" w:salt="0jPa+rqf3gnCsa9IU8UaEA=="/>
  <w:defaultTabStop w:val="720"/>
  <w:hyphenationZone w:val="425"/>
  <w:characterSpacingControl w:val="doNotCompress"/>
  <w:hdrShapeDefaults>
    <o:shapedefaults v:ext="edit" spidmax="2049"/>
  </w:hdrShapeDefaults>
  <w:footnotePr>
    <w:footnote w:id="-1"/>
    <w:footnote w:id="0"/>
    <w:footnote w:id="1"/>
  </w:footnotePr>
  <w:endnotePr>
    <w:pos w:val="sectEnd"/>
    <w:numFmt w:val="decimal"/>
    <w:numRestart w:val="eachSect"/>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37"/>
    <w:rsid w:val="000003DC"/>
    <w:rsid w:val="00000FA4"/>
    <w:rsid w:val="00001B36"/>
    <w:rsid w:val="0000407D"/>
    <w:rsid w:val="00004A70"/>
    <w:rsid w:val="00005313"/>
    <w:rsid w:val="0000727D"/>
    <w:rsid w:val="000102DA"/>
    <w:rsid w:val="00010A68"/>
    <w:rsid w:val="00010BB6"/>
    <w:rsid w:val="00011B38"/>
    <w:rsid w:val="000129AF"/>
    <w:rsid w:val="000149D5"/>
    <w:rsid w:val="0001504A"/>
    <w:rsid w:val="00016DB2"/>
    <w:rsid w:val="00017C6C"/>
    <w:rsid w:val="00020C75"/>
    <w:rsid w:val="0002188F"/>
    <w:rsid w:val="00022573"/>
    <w:rsid w:val="00024A5F"/>
    <w:rsid w:val="000274F4"/>
    <w:rsid w:val="000278C1"/>
    <w:rsid w:val="00030871"/>
    <w:rsid w:val="00031AF0"/>
    <w:rsid w:val="00032CB3"/>
    <w:rsid w:val="0003607C"/>
    <w:rsid w:val="0003760A"/>
    <w:rsid w:val="00043AF0"/>
    <w:rsid w:val="00043B5E"/>
    <w:rsid w:val="00044A82"/>
    <w:rsid w:val="00045EE0"/>
    <w:rsid w:val="00046277"/>
    <w:rsid w:val="000462F5"/>
    <w:rsid w:val="00047BAC"/>
    <w:rsid w:val="00050333"/>
    <w:rsid w:val="00050CE5"/>
    <w:rsid w:val="00050D3E"/>
    <w:rsid w:val="00050D83"/>
    <w:rsid w:val="00050EE2"/>
    <w:rsid w:val="00051D19"/>
    <w:rsid w:val="00052692"/>
    <w:rsid w:val="00052985"/>
    <w:rsid w:val="00052B72"/>
    <w:rsid w:val="00054AB2"/>
    <w:rsid w:val="00054BE0"/>
    <w:rsid w:val="00054FE0"/>
    <w:rsid w:val="000550BE"/>
    <w:rsid w:val="0005560E"/>
    <w:rsid w:val="00057D49"/>
    <w:rsid w:val="00060F57"/>
    <w:rsid w:val="000635FA"/>
    <w:rsid w:val="00064131"/>
    <w:rsid w:val="000649EA"/>
    <w:rsid w:val="000657FE"/>
    <w:rsid w:val="00065C4D"/>
    <w:rsid w:val="000701C2"/>
    <w:rsid w:val="00070242"/>
    <w:rsid w:val="00071CD7"/>
    <w:rsid w:val="000720A5"/>
    <w:rsid w:val="0007621A"/>
    <w:rsid w:val="000801E8"/>
    <w:rsid w:val="0008507D"/>
    <w:rsid w:val="000864AF"/>
    <w:rsid w:val="0009052D"/>
    <w:rsid w:val="0009088E"/>
    <w:rsid w:val="00091E2D"/>
    <w:rsid w:val="00093DA7"/>
    <w:rsid w:val="000A0368"/>
    <w:rsid w:val="000A0DEF"/>
    <w:rsid w:val="000A13F6"/>
    <w:rsid w:val="000A2EC1"/>
    <w:rsid w:val="000A35D7"/>
    <w:rsid w:val="000A4F8D"/>
    <w:rsid w:val="000A525F"/>
    <w:rsid w:val="000A7F1D"/>
    <w:rsid w:val="000B2002"/>
    <w:rsid w:val="000B387D"/>
    <w:rsid w:val="000B3D1D"/>
    <w:rsid w:val="000B5BF5"/>
    <w:rsid w:val="000B5D3D"/>
    <w:rsid w:val="000B7073"/>
    <w:rsid w:val="000B7EC0"/>
    <w:rsid w:val="000C0464"/>
    <w:rsid w:val="000C25AD"/>
    <w:rsid w:val="000C3803"/>
    <w:rsid w:val="000C495D"/>
    <w:rsid w:val="000C65BF"/>
    <w:rsid w:val="000D03F6"/>
    <w:rsid w:val="000D1351"/>
    <w:rsid w:val="000D3029"/>
    <w:rsid w:val="000D4261"/>
    <w:rsid w:val="000D4935"/>
    <w:rsid w:val="000D794F"/>
    <w:rsid w:val="000E0A52"/>
    <w:rsid w:val="000E129F"/>
    <w:rsid w:val="000E163C"/>
    <w:rsid w:val="000E2615"/>
    <w:rsid w:val="000E3922"/>
    <w:rsid w:val="000E5B17"/>
    <w:rsid w:val="000E5F00"/>
    <w:rsid w:val="000F02E8"/>
    <w:rsid w:val="000F1F37"/>
    <w:rsid w:val="000F26DC"/>
    <w:rsid w:val="000F2DB1"/>
    <w:rsid w:val="000F39E3"/>
    <w:rsid w:val="000F4768"/>
    <w:rsid w:val="000F4C93"/>
    <w:rsid w:val="000F6798"/>
    <w:rsid w:val="000F67B6"/>
    <w:rsid w:val="000F6AF7"/>
    <w:rsid w:val="000F7713"/>
    <w:rsid w:val="00100239"/>
    <w:rsid w:val="00102233"/>
    <w:rsid w:val="0010229D"/>
    <w:rsid w:val="00106ABE"/>
    <w:rsid w:val="0010700F"/>
    <w:rsid w:val="00107886"/>
    <w:rsid w:val="00107C28"/>
    <w:rsid w:val="00110C02"/>
    <w:rsid w:val="0011133D"/>
    <w:rsid w:val="001120C8"/>
    <w:rsid w:val="00112881"/>
    <w:rsid w:val="00113C68"/>
    <w:rsid w:val="001143E4"/>
    <w:rsid w:val="00114719"/>
    <w:rsid w:val="001148C3"/>
    <w:rsid w:val="001178AF"/>
    <w:rsid w:val="00120BB3"/>
    <w:rsid w:val="00120BB9"/>
    <w:rsid w:val="00120E00"/>
    <w:rsid w:val="001216CF"/>
    <w:rsid w:val="00122363"/>
    <w:rsid w:val="00122608"/>
    <w:rsid w:val="00122D79"/>
    <w:rsid w:val="00123113"/>
    <w:rsid w:val="001239AE"/>
    <w:rsid w:val="0012404D"/>
    <w:rsid w:val="00124954"/>
    <w:rsid w:val="00124E45"/>
    <w:rsid w:val="001259CE"/>
    <w:rsid w:val="00127050"/>
    <w:rsid w:val="00127DE4"/>
    <w:rsid w:val="0013364E"/>
    <w:rsid w:val="001344F1"/>
    <w:rsid w:val="0013478A"/>
    <w:rsid w:val="00134A4A"/>
    <w:rsid w:val="001353EB"/>
    <w:rsid w:val="00135E95"/>
    <w:rsid w:val="00136DE2"/>
    <w:rsid w:val="001375E9"/>
    <w:rsid w:val="0013796A"/>
    <w:rsid w:val="00143DB0"/>
    <w:rsid w:val="001441EA"/>
    <w:rsid w:val="00144B1E"/>
    <w:rsid w:val="00146AA8"/>
    <w:rsid w:val="00147861"/>
    <w:rsid w:val="0015071D"/>
    <w:rsid w:val="0015083F"/>
    <w:rsid w:val="00151AB8"/>
    <w:rsid w:val="00152E14"/>
    <w:rsid w:val="001534F4"/>
    <w:rsid w:val="0015504F"/>
    <w:rsid w:val="00157262"/>
    <w:rsid w:val="00157E03"/>
    <w:rsid w:val="00160D4B"/>
    <w:rsid w:val="00162122"/>
    <w:rsid w:val="001622D6"/>
    <w:rsid w:val="00162C40"/>
    <w:rsid w:val="00164671"/>
    <w:rsid w:val="00166676"/>
    <w:rsid w:val="00166884"/>
    <w:rsid w:val="001722EE"/>
    <w:rsid w:val="00174931"/>
    <w:rsid w:val="001761EE"/>
    <w:rsid w:val="00176868"/>
    <w:rsid w:val="00177699"/>
    <w:rsid w:val="0018036B"/>
    <w:rsid w:val="00180FC9"/>
    <w:rsid w:val="00181166"/>
    <w:rsid w:val="001811D5"/>
    <w:rsid w:val="00184E05"/>
    <w:rsid w:val="001863F2"/>
    <w:rsid w:val="001868A3"/>
    <w:rsid w:val="00187553"/>
    <w:rsid w:val="00187825"/>
    <w:rsid w:val="00190DD2"/>
    <w:rsid w:val="001952A8"/>
    <w:rsid w:val="00196161"/>
    <w:rsid w:val="001964EA"/>
    <w:rsid w:val="001974D4"/>
    <w:rsid w:val="00197C76"/>
    <w:rsid w:val="001A0062"/>
    <w:rsid w:val="001A07DF"/>
    <w:rsid w:val="001A1822"/>
    <w:rsid w:val="001A1B07"/>
    <w:rsid w:val="001A2854"/>
    <w:rsid w:val="001A3454"/>
    <w:rsid w:val="001A633A"/>
    <w:rsid w:val="001A6B8B"/>
    <w:rsid w:val="001A76BA"/>
    <w:rsid w:val="001B091D"/>
    <w:rsid w:val="001B25BD"/>
    <w:rsid w:val="001B4939"/>
    <w:rsid w:val="001B4A00"/>
    <w:rsid w:val="001B54FD"/>
    <w:rsid w:val="001B5C76"/>
    <w:rsid w:val="001B6F01"/>
    <w:rsid w:val="001C0FF9"/>
    <w:rsid w:val="001C11C9"/>
    <w:rsid w:val="001C2676"/>
    <w:rsid w:val="001C2BF8"/>
    <w:rsid w:val="001C347E"/>
    <w:rsid w:val="001C3F6F"/>
    <w:rsid w:val="001C3FAA"/>
    <w:rsid w:val="001C4996"/>
    <w:rsid w:val="001C573A"/>
    <w:rsid w:val="001C6AD8"/>
    <w:rsid w:val="001C6DAC"/>
    <w:rsid w:val="001C77B8"/>
    <w:rsid w:val="001D2FF6"/>
    <w:rsid w:val="001D345D"/>
    <w:rsid w:val="001D3B0F"/>
    <w:rsid w:val="001D3FB6"/>
    <w:rsid w:val="001D7527"/>
    <w:rsid w:val="001E0F70"/>
    <w:rsid w:val="001E1403"/>
    <w:rsid w:val="001E1BA1"/>
    <w:rsid w:val="001E390F"/>
    <w:rsid w:val="001E3D82"/>
    <w:rsid w:val="001E56DD"/>
    <w:rsid w:val="001E7536"/>
    <w:rsid w:val="001F1CD9"/>
    <w:rsid w:val="001F1FA3"/>
    <w:rsid w:val="001F21C2"/>
    <w:rsid w:val="001F2D6C"/>
    <w:rsid w:val="001F393A"/>
    <w:rsid w:val="001F54C0"/>
    <w:rsid w:val="001F5810"/>
    <w:rsid w:val="001F70BE"/>
    <w:rsid w:val="002003E0"/>
    <w:rsid w:val="00200609"/>
    <w:rsid w:val="00200BF7"/>
    <w:rsid w:val="00202168"/>
    <w:rsid w:val="002025B9"/>
    <w:rsid w:val="00202E95"/>
    <w:rsid w:val="002037DB"/>
    <w:rsid w:val="00204D0E"/>
    <w:rsid w:val="00207BBF"/>
    <w:rsid w:val="00211511"/>
    <w:rsid w:val="00211C78"/>
    <w:rsid w:val="002136D0"/>
    <w:rsid w:val="002210EF"/>
    <w:rsid w:val="00222B7C"/>
    <w:rsid w:val="00224AB5"/>
    <w:rsid w:val="00224F5B"/>
    <w:rsid w:val="00232ACD"/>
    <w:rsid w:val="002350DF"/>
    <w:rsid w:val="002358B0"/>
    <w:rsid w:val="002358E3"/>
    <w:rsid w:val="0023655E"/>
    <w:rsid w:val="0024010F"/>
    <w:rsid w:val="002427C1"/>
    <w:rsid w:val="00242DE3"/>
    <w:rsid w:val="0024526E"/>
    <w:rsid w:val="00246B18"/>
    <w:rsid w:val="002505C7"/>
    <w:rsid w:val="00251497"/>
    <w:rsid w:val="00251E32"/>
    <w:rsid w:val="002532DF"/>
    <w:rsid w:val="002547D0"/>
    <w:rsid w:val="002558F6"/>
    <w:rsid w:val="00256EA2"/>
    <w:rsid w:val="00256EFC"/>
    <w:rsid w:val="00260FDE"/>
    <w:rsid w:val="00261DD9"/>
    <w:rsid w:val="002637D2"/>
    <w:rsid w:val="002641CA"/>
    <w:rsid w:val="00264977"/>
    <w:rsid w:val="0026498C"/>
    <w:rsid w:val="00265598"/>
    <w:rsid w:val="00270C53"/>
    <w:rsid w:val="00270E2E"/>
    <w:rsid w:val="002710FB"/>
    <w:rsid w:val="00272703"/>
    <w:rsid w:val="00275A6D"/>
    <w:rsid w:val="002769E6"/>
    <w:rsid w:val="00276F43"/>
    <w:rsid w:val="00277150"/>
    <w:rsid w:val="002779B5"/>
    <w:rsid w:val="00280A1B"/>
    <w:rsid w:val="00281C6D"/>
    <w:rsid w:val="0028294A"/>
    <w:rsid w:val="002851F0"/>
    <w:rsid w:val="00287AC5"/>
    <w:rsid w:val="00291255"/>
    <w:rsid w:val="002917FA"/>
    <w:rsid w:val="002932FC"/>
    <w:rsid w:val="0029335F"/>
    <w:rsid w:val="00294DF0"/>
    <w:rsid w:val="002979A6"/>
    <w:rsid w:val="002A2324"/>
    <w:rsid w:val="002A2966"/>
    <w:rsid w:val="002A5B11"/>
    <w:rsid w:val="002B049F"/>
    <w:rsid w:val="002B072F"/>
    <w:rsid w:val="002B0AE9"/>
    <w:rsid w:val="002B12C3"/>
    <w:rsid w:val="002B5B65"/>
    <w:rsid w:val="002C0523"/>
    <w:rsid w:val="002C1B91"/>
    <w:rsid w:val="002C23FE"/>
    <w:rsid w:val="002C3F70"/>
    <w:rsid w:val="002C42E4"/>
    <w:rsid w:val="002C456D"/>
    <w:rsid w:val="002C4A92"/>
    <w:rsid w:val="002C5517"/>
    <w:rsid w:val="002C5681"/>
    <w:rsid w:val="002C5B3B"/>
    <w:rsid w:val="002C6325"/>
    <w:rsid w:val="002C6674"/>
    <w:rsid w:val="002C7ECA"/>
    <w:rsid w:val="002D1882"/>
    <w:rsid w:val="002D18BF"/>
    <w:rsid w:val="002D2CC2"/>
    <w:rsid w:val="002D4649"/>
    <w:rsid w:val="002D5D73"/>
    <w:rsid w:val="002D693D"/>
    <w:rsid w:val="002E2631"/>
    <w:rsid w:val="002E33B8"/>
    <w:rsid w:val="002E3B0F"/>
    <w:rsid w:val="002E4ABB"/>
    <w:rsid w:val="002E51F9"/>
    <w:rsid w:val="002E62BE"/>
    <w:rsid w:val="002E7BC7"/>
    <w:rsid w:val="002E7D42"/>
    <w:rsid w:val="002E7DC0"/>
    <w:rsid w:val="002F1F66"/>
    <w:rsid w:val="002F24AE"/>
    <w:rsid w:val="002F4BCE"/>
    <w:rsid w:val="002F52AC"/>
    <w:rsid w:val="002F57E7"/>
    <w:rsid w:val="002F73A2"/>
    <w:rsid w:val="002F7929"/>
    <w:rsid w:val="0030037C"/>
    <w:rsid w:val="003016BE"/>
    <w:rsid w:val="00302F1F"/>
    <w:rsid w:val="003032D9"/>
    <w:rsid w:val="00305B82"/>
    <w:rsid w:val="00305DEA"/>
    <w:rsid w:val="00307994"/>
    <w:rsid w:val="00313CAE"/>
    <w:rsid w:val="00314AB4"/>
    <w:rsid w:val="0031506A"/>
    <w:rsid w:val="00315BF0"/>
    <w:rsid w:val="00316462"/>
    <w:rsid w:val="003168EE"/>
    <w:rsid w:val="00316E04"/>
    <w:rsid w:val="003178D9"/>
    <w:rsid w:val="00317CB0"/>
    <w:rsid w:val="00320291"/>
    <w:rsid w:val="00320A56"/>
    <w:rsid w:val="0032277F"/>
    <w:rsid w:val="003240DE"/>
    <w:rsid w:val="003241B9"/>
    <w:rsid w:val="003247F2"/>
    <w:rsid w:val="003264DD"/>
    <w:rsid w:val="00327C1E"/>
    <w:rsid w:val="003305E5"/>
    <w:rsid w:val="00332A31"/>
    <w:rsid w:val="00335680"/>
    <w:rsid w:val="003368A4"/>
    <w:rsid w:val="00336F1F"/>
    <w:rsid w:val="0034069F"/>
    <w:rsid w:val="00341565"/>
    <w:rsid w:val="00341A48"/>
    <w:rsid w:val="00347C4B"/>
    <w:rsid w:val="00352098"/>
    <w:rsid w:val="003520FC"/>
    <w:rsid w:val="00354D02"/>
    <w:rsid w:val="0035571F"/>
    <w:rsid w:val="00356BC2"/>
    <w:rsid w:val="00357371"/>
    <w:rsid w:val="0036283C"/>
    <w:rsid w:val="00362F02"/>
    <w:rsid w:val="00364A40"/>
    <w:rsid w:val="003650A3"/>
    <w:rsid w:val="003656F9"/>
    <w:rsid w:val="00365B0F"/>
    <w:rsid w:val="00365DE1"/>
    <w:rsid w:val="00366753"/>
    <w:rsid w:val="00366942"/>
    <w:rsid w:val="00371FD2"/>
    <w:rsid w:val="003762AD"/>
    <w:rsid w:val="003767C6"/>
    <w:rsid w:val="00377C78"/>
    <w:rsid w:val="00377DBE"/>
    <w:rsid w:val="003811A4"/>
    <w:rsid w:val="00381C39"/>
    <w:rsid w:val="00382EDA"/>
    <w:rsid w:val="003840E5"/>
    <w:rsid w:val="003876CC"/>
    <w:rsid w:val="003904AA"/>
    <w:rsid w:val="00390DC9"/>
    <w:rsid w:val="003920E6"/>
    <w:rsid w:val="00392AC5"/>
    <w:rsid w:val="00392E63"/>
    <w:rsid w:val="00396CFF"/>
    <w:rsid w:val="00397CBB"/>
    <w:rsid w:val="00397DC7"/>
    <w:rsid w:val="003A31D8"/>
    <w:rsid w:val="003B16F6"/>
    <w:rsid w:val="003B2494"/>
    <w:rsid w:val="003B30C7"/>
    <w:rsid w:val="003B4138"/>
    <w:rsid w:val="003B60EE"/>
    <w:rsid w:val="003B619F"/>
    <w:rsid w:val="003B6684"/>
    <w:rsid w:val="003B6751"/>
    <w:rsid w:val="003B6942"/>
    <w:rsid w:val="003B7EF4"/>
    <w:rsid w:val="003C0FFD"/>
    <w:rsid w:val="003C13EE"/>
    <w:rsid w:val="003C3115"/>
    <w:rsid w:val="003C5182"/>
    <w:rsid w:val="003C6219"/>
    <w:rsid w:val="003C6809"/>
    <w:rsid w:val="003C6D0A"/>
    <w:rsid w:val="003C72D9"/>
    <w:rsid w:val="003C786D"/>
    <w:rsid w:val="003D01CD"/>
    <w:rsid w:val="003D12DB"/>
    <w:rsid w:val="003D2BAA"/>
    <w:rsid w:val="003D35FF"/>
    <w:rsid w:val="003D3F40"/>
    <w:rsid w:val="003D40C6"/>
    <w:rsid w:val="003D4C7A"/>
    <w:rsid w:val="003D55F9"/>
    <w:rsid w:val="003D79B7"/>
    <w:rsid w:val="003E42BF"/>
    <w:rsid w:val="003E4D3E"/>
    <w:rsid w:val="003E5265"/>
    <w:rsid w:val="003E58DF"/>
    <w:rsid w:val="003E63D9"/>
    <w:rsid w:val="003F30AE"/>
    <w:rsid w:val="003F489F"/>
    <w:rsid w:val="003F4F8B"/>
    <w:rsid w:val="003F54AC"/>
    <w:rsid w:val="003F57AE"/>
    <w:rsid w:val="003F59EB"/>
    <w:rsid w:val="003F76CA"/>
    <w:rsid w:val="00402FA1"/>
    <w:rsid w:val="004030C6"/>
    <w:rsid w:val="0040377E"/>
    <w:rsid w:val="00403F5E"/>
    <w:rsid w:val="004044C1"/>
    <w:rsid w:val="004078AA"/>
    <w:rsid w:val="00410557"/>
    <w:rsid w:val="00411BB0"/>
    <w:rsid w:val="00411BF3"/>
    <w:rsid w:val="00414B7D"/>
    <w:rsid w:val="0041665B"/>
    <w:rsid w:val="00416E6C"/>
    <w:rsid w:val="004175BE"/>
    <w:rsid w:val="004220D0"/>
    <w:rsid w:val="004237DB"/>
    <w:rsid w:val="00423F59"/>
    <w:rsid w:val="00424A79"/>
    <w:rsid w:val="00425CF2"/>
    <w:rsid w:val="00426100"/>
    <w:rsid w:val="004261CE"/>
    <w:rsid w:val="00432F07"/>
    <w:rsid w:val="004333D6"/>
    <w:rsid w:val="00441573"/>
    <w:rsid w:val="00441D5E"/>
    <w:rsid w:val="00443B52"/>
    <w:rsid w:val="00452531"/>
    <w:rsid w:val="00453494"/>
    <w:rsid w:val="0045388B"/>
    <w:rsid w:val="00453B2B"/>
    <w:rsid w:val="00453F8A"/>
    <w:rsid w:val="00454D43"/>
    <w:rsid w:val="0045500E"/>
    <w:rsid w:val="004550CC"/>
    <w:rsid w:val="00455886"/>
    <w:rsid w:val="00455F9E"/>
    <w:rsid w:val="00456B1E"/>
    <w:rsid w:val="00457B86"/>
    <w:rsid w:val="00461B88"/>
    <w:rsid w:val="00462552"/>
    <w:rsid w:val="00462934"/>
    <w:rsid w:val="004633BC"/>
    <w:rsid w:val="00463938"/>
    <w:rsid w:val="00464E3D"/>
    <w:rsid w:val="004662A8"/>
    <w:rsid w:val="00466EBE"/>
    <w:rsid w:val="00470D73"/>
    <w:rsid w:val="0047121F"/>
    <w:rsid w:val="00474F02"/>
    <w:rsid w:val="00475B46"/>
    <w:rsid w:val="00475DC6"/>
    <w:rsid w:val="00477BAF"/>
    <w:rsid w:val="004825BE"/>
    <w:rsid w:val="00482700"/>
    <w:rsid w:val="004839BB"/>
    <w:rsid w:val="00483E88"/>
    <w:rsid w:val="00484A5F"/>
    <w:rsid w:val="00487944"/>
    <w:rsid w:val="00490760"/>
    <w:rsid w:val="004922C5"/>
    <w:rsid w:val="00493011"/>
    <w:rsid w:val="0049340A"/>
    <w:rsid w:val="00494133"/>
    <w:rsid w:val="00495465"/>
    <w:rsid w:val="00495552"/>
    <w:rsid w:val="004A0636"/>
    <w:rsid w:val="004A069D"/>
    <w:rsid w:val="004A0A32"/>
    <w:rsid w:val="004A1149"/>
    <w:rsid w:val="004A30C5"/>
    <w:rsid w:val="004A3314"/>
    <w:rsid w:val="004A3FEE"/>
    <w:rsid w:val="004A5D5D"/>
    <w:rsid w:val="004A650E"/>
    <w:rsid w:val="004A6AFE"/>
    <w:rsid w:val="004A6B6D"/>
    <w:rsid w:val="004A7735"/>
    <w:rsid w:val="004A78B1"/>
    <w:rsid w:val="004B1C12"/>
    <w:rsid w:val="004B2634"/>
    <w:rsid w:val="004B4698"/>
    <w:rsid w:val="004B587B"/>
    <w:rsid w:val="004B7760"/>
    <w:rsid w:val="004C02F0"/>
    <w:rsid w:val="004C071C"/>
    <w:rsid w:val="004C351A"/>
    <w:rsid w:val="004C435A"/>
    <w:rsid w:val="004C7383"/>
    <w:rsid w:val="004D01E5"/>
    <w:rsid w:val="004D22A5"/>
    <w:rsid w:val="004D30C7"/>
    <w:rsid w:val="004D62D1"/>
    <w:rsid w:val="004D6882"/>
    <w:rsid w:val="004D6C58"/>
    <w:rsid w:val="004D73F8"/>
    <w:rsid w:val="004E05EF"/>
    <w:rsid w:val="004E0775"/>
    <w:rsid w:val="004E2729"/>
    <w:rsid w:val="004E28AD"/>
    <w:rsid w:val="004E32BD"/>
    <w:rsid w:val="004E33DE"/>
    <w:rsid w:val="004E7A77"/>
    <w:rsid w:val="004F016A"/>
    <w:rsid w:val="004F160E"/>
    <w:rsid w:val="004F28DF"/>
    <w:rsid w:val="004F4DC0"/>
    <w:rsid w:val="004F51E6"/>
    <w:rsid w:val="00500276"/>
    <w:rsid w:val="0050036E"/>
    <w:rsid w:val="005024B7"/>
    <w:rsid w:val="00503192"/>
    <w:rsid w:val="00503C69"/>
    <w:rsid w:val="00504217"/>
    <w:rsid w:val="00504C91"/>
    <w:rsid w:val="00505B0A"/>
    <w:rsid w:val="00505C1E"/>
    <w:rsid w:val="00506A7B"/>
    <w:rsid w:val="00511702"/>
    <w:rsid w:val="00512169"/>
    <w:rsid w:val="00512B04"/>
    <w:rsid w:val="00514E9C"/>
    <w:rsid w:val="00515AF8"/>
    <w:rsid w:val="00516A70"/>
    <w:rsid w:val="00517352"/>
    <w:rsid w:val="00517546"/>
    <w:rsid w:val="00517871"/>
    <w:rsid w:val="00520A1F"/>
    <w:rsid w:val="00521DA5"/>
    <w:rsid w:val="005229D9"/>
    <w:rsid w:val="00524885"/>
    <w:rsid w:val="0052622D"/>
    <w:rsid w:val="005339DC"/>
    <w:rsid w:val="005341E2"/>
    <w:rsid w:val="00534651"/>
    <w:rsid w:val="005353AA"/>
    <w:rsid w:val="00537CB7"/>
    <w:rsid w:val="00541E0E"/>
    <w:rsid w:val="00542CD1"/>
    <w:rsid w:val="00542FE0"/>
    <w:rsid w:val="005434AA"/>
    <w:rsid w:val="005456D4"/>
    <w:rsid w:val="00546379"/>
    <w:rsid w:val="00547256"/>
    <w:rsid w:val="005505F6"/>
    <w:rsid w:val="00550AFF"/>
    <w:rsid w:val="00551B67"/>
    <w:rsid w:val="005528CB"/>
    <w:rsid w:val="00552EA3"/>
    <w:rsid w:val="00556FED"/>
    <w:rsid w:val="00560701"/>
    <w:rsid w:val="00564E55"/>
    <w:rsid w:val="00565626"/>
    <w:rsid w:val="00571A41"/>
    <w:rsid w:val="00572269"/>
    <w:rsid w:val="0057265A"/>
    <w:rsid w:val="005733AE"/>
    <w:rsid w:val="00573B32"/>
    <w:rsid w:val="00573F5D"/>
    <w:rsid w:val="0057420B"/>
    <w:rsid w:val="00574E1A"/>
    <w:rsid w:val="005762E5"/>
    <w:rsid w:val="0057663C"/>
    <w:rsid w:val="005774BB"/>
    <w:rsid w:val="00577B5B"/>
    <w:rsid w:val="00581B4D"/>
    <w:rsid w:val="005821C4"/>
    <w:rsid w:val="00583270"/>
    <w:rsid w:val="00583E83"/>
    <w:rsid w:val="00586233"/>
    <w:rsid w:val="0059050B"/>
    <w:rsid w:val="00590FF5"/>
    <w:rsid w:val="00591EF5"/>
    <w:rsid w:val="00591F55"/>
    <w:rsid w:val="00594E87"/>
    <w:rsid w:val="00597DE6"/>
    <w:rsid w:val="005A0E5C"/>
    <w:rsid w:val="005A1DEB"/>
    <w:rsid w:val="005A356A"/>
    <w:rsid w:val="005A447C"/>
    <w:rsid w:val="005A5C78"/>
    <w:rsid w:val="005A640B"/>
    <w:rsid w:val="005A7183"/>
    <w:rsid w:val="005A74D6"/>
    <w:rsid w:val="005B36C6"/>
    <w:rsid w:val="005B4637"/>
    <w:rsid w:val="005B4D1E"/>
    <w:rsid w:val="005B58F0"/>
    <w:rsid w:val="005B6FD3"/>
    <w:rsid w:val="005B76F6"/>
    <w:rsid w:val="005C093A"/>
    <w:rsid w:val="005C0A0F"/>
    <w:rsid w:val="005C1F02"/>
    <w:rsid w:val="005C2426"/>
    <w:rsid w:val="005C4065"/>
    <w:rsid w:val="005C50EF"/>
    <w:rsid w:val="005C5814"/>
    <w:rsid w:val="005C6455"/>
    <w:rsid w:val="005C7519"/>
    <w:rsid w:val="005C7A25"/>
    <w:rsid w:val="005D29EF"/>
    <w:rsid w:val="005D3A51"/>
    <w:rsid w:val="005D40FB"/>
    <w:rsid w:val="005D7657"/>
    <w:rsid w:val="005D7BC5"/>
    <w:rsid w:val="005D7EC5"/>
    <w:rsid w:val="005E065A"/>
    <w:rsid w:val="005E2226"/>
    <w:rsid w:val="005E2E10"/>
    <w:rsid w:val="005E490A"/>
    <w:rsid w:val="005E62C0"/>
    <w:rsid w:val="005E7A57"/>
    <w:rsid w:val="005F2414"/>
    <w:rsid w:val="005F30C8"/>
    <w:rsid w:val="005F3892"/>
    <w:rsid w:val="005F407C"/>
    <w:rsid w:val="005F41E2"/>
    <w:rsid w:val="005F759F"/>
    <w:rsid w:val="005F75C7"/>
    <w:rsid w:val="0060422D"/>
    <w:rsid w:val="00604B52"/>
    <w:rsid w:val="00604BCB"/>
    <w:rsid w:val="006060A5"/>
    <w:rsid w:val="00606261"/>
    <w:rsid w:val="00610A68"/>
    <w:rsid w:val="006132C5"/>
    <w:rsid w:val="0061348F"/>
    <w:rsid w:val="00613C52"/>
    <w:rsid w:val="00613E4A"/>
    <w:rsid w:val="00614049"/>
    <w:rsid w:val="00615212"/>
    <w:rsid w:val="00615512"/>
    <w:rsid w:val="00615734"/>
    <w:rsid w:val="00615CCC"/>
    <w:rsid w:val="00617421"/>
    <w:rsid w:val="00617B1F"/>
    <w:rsid w:val="0062096D"/>
    <w:rsid w:val="00621FE8"/>
    <w:rsid w:val="006221B8"/>
    <w:rsid w:val="006265D3"/>
    <w:rsid w:val="0063101C"/>
    <w:rsid w:val="0063171A"/>
    <w:rsid w:val="0063406B"/>
    <w:rsid w:val="00634A37"/>
    <w:rsid w:val="006355FC"/>
    <w:rsid w:val="0063563B"/>
    <w:rsid w:val="006362DB"/>
    <w:rsid w:val="00636BDA"/>
    <w:rsid w:val="00641F6C"/>
    <w:rsid w:val="006428AB"/>
    <w:rsid w:val="00644BA5"/>
    <w:rsid w:val="00646A67"/>
    <w:rsid w:val="00646CBC"/>
    <w:rsid w:val="00647300"/>
    <w:rsid w:val="006523AD"/>
    <w:rsid w:val="00652814"/>
    <w:rsid w:val="00654F86"/>
    <w:rsid w:val="006553E6"/>
    <w:rsid w:val="00655FFD"/>
    <w:rsid w:val="00656E37"/>
    <w:rsid w:val="006572C2"/>
    <w:rsid w:val="00657403"/>
    <w:rsid w:val="006576BA"/>
    <w:rsid w:val="00657F30"/>
    <w:rsid w:val="00661831"/>
    <w:rsid w:val="00662AA5"/>
    <w:rsid w:val="00664025"/>
    <w:rsid w:val="00666768"/>
    <w:rsid w:val="00671E52"/>
    <w:rsid w:val="00671FFB"/>
    <w:rsid w:val="006721AE"/>
    <w:rsid w:val="00672BD9"/>
    <w:rsid w:val="00673E1A"/>
    <w:rsid w:val="00674DA2"/>
    <w:rsid w:val="00675A8A"/>
    <w:rsid w:val="006769EA"/>
    <w:rsid w:val="00677CF0"/>
    <w:rsid w:val="00677D30"/>
    <w:rsid w:val="00680F6A"/>
    <w:rsid w:val="0068163B"/>
    <w:rsid w:val="00681DB9"/>
    <w:rsid w:val="00683AA7"/>
    <w:rsid w:val="00683D9E"/>
    <w:rsid w:val="00683F1F"/>
    <w:rsid w:val="0068559D"/>
    <w:rsid w:val="00685F59"/>
    <w:rsid w:val="00685F8D"/>
    <w:rsid w:val="006862C8"/>
    <w:rsid w:val="00686C42"/>
    <w:rsid w:val="00687911"/>
    <w:rsid w:val="0069099A"/>
    <w:rsid w:val="00692F08"/>
    <w:rsid w:val="006930E7"/>
    <w:rsid w:val="00693F5B"/>
    <w:rsid w:val="006947D4"/>
    <w:rsid w:val="00696094"/>
    <w:rsid w:val="006A01E9"/>
    <w:rsid w:val="006A1BC7"/>
    <w:rsid w:val="006A4CA6"/>
    <w:rsid w:val="006A5BC3"/>
    <w:rsid w:val="006A5DB9"/>
    <w:rsid w:val="006A658B"/>
    <w:rsid w:val="006A77CA"/>
    <w:rsid w:val="006B25C6"/>
    <w:rsid w:val="006B3553"/>
    <w:rsid w:val="006B39DB"/>
    <w:rsid w:val="006B418E"/>
    <w:rsid w:val="006B4F6D"/>
    <w:rsid w:val="006B59F4"/>
    <w:rsid w:val="006B5A7B"/>
    <w:rsid w:val="006B61C7"/>
    <w:rsid w:val="006B7ECF"/>
    <w:rsid w:val="006C0B0D"/>
    <w:rsid w:val="006C1A36"/>
    <w:rsid w:val="006C4493"/>
    <w:rsid w:val="006C480F"/>
    <w:rsid w:val="006C6D33"/>
    <w:rsid w:val="006C6EF0"/>
    <w:rsid w:val="006C7855"/>
    <w:rsid w:val="006D04DF"/>
    <w:rsid w:val="006D0CF4"/>
    <w:rsid w:val="006D4193"/>
    <w:rsid w:val="006D64F2"/>
    <w:rsid w:val="006D6D42"/>
    <w:rsid w:val="006E1124"/>
    <w:rsid w:val="006E2488"/>
    <w:rsid w:val="006E3F2E"/>
    <w:rsid w:val="006E53C7"/>
    <w:rsid w:val="006E5B43"/>
    <w:rsid w:val="006E6177"/>
    <w:rsid w:val="006E753C"/>
    <w:rsid w:val="006F0000"/>
    <w:rsid w:val="006F2143"/>
    <w:rsid w:val="006F39B2"/>
    <w:rsid w:val="006F6688"/>
    <w:rsid w:val="006F78D0"/>
    <w:rsid w:val="00700365"/>
    <w:rsid w:val="0070056C"/>
    <w:rsid w:val="0070147B"/>
    <w:rsid w:val="00701BED"/>
    <w:rsid w:val="0070249A"/>
    <w:rsid w:val="007025DE"/>
    <w:rsid w:val="007029FD"/>
    <w:rsid w:val="00702BCB"/>
    <w:rsid w:val="00704448"/>
    <w:rsid w:val="007068F6"/>
    <w:rsid w:val="00707C1F"/>
    <w:rsid w:val="007105F6"/>
    <w:rsid w:val="007135A4"/>
    <w:rsid w:val="0071463A"/>
    <w:rsid w:val="00715B48"/>
    <w:rsid w:val="007178D9"/>
    <w:rsid w:val="007200FD"/>
    <w:rsid w:val="00720421"/>
    <w:rsid w:val="00721416"/>
    <w:rsid w:val="00722F7A"/>
    <w:rsid w:val="00723AD3"/>
    <w:rsid w:val="00725BF3"/>
    <w:rsid w:val="00725DAB"/>
    <w:rsid w:val="00730F82"/>
    <w:rsid w:val="0073255E"/>
    <w:rsid w:val="00732908"/>
    <w:rsid w:val="007330F2"/>
    <w:rsid w:val="00734285"/>
    <w:rsid w:val="007379CE"/>
    <w:rsid w:val="00740238"/>
    <w:rsid w:val="00740D13"/>
    <w:rsid w:val="00741D6B"/>
    <w:rsid w:val="00743622"/>
    <w:rsid w:val="00743B72"/>
    <w:rsid w:val="0074439C"/>
    <w:rsid w:val="00744DF0"/>
    <w:rsid w:val="00745F11"/>
    <w:rsid w:val="007469B2"/>
    <w:rsid w:val="0074761B"/>
    <w:rsid w:val="0075058A"/>
    <w:rsid w:val="00752197"/>
    <w:rsid w:val="0075236F"/>
    <w:rsid w:val="00754469"/>
    <w:rsid w:val="0075597F"/>
    <w:rsid w:val="00756CAE"/>
    <w:rsid w:val="00756ED0"/>
    <w:rsid w:val="00756FDE"/>
    <w:rsid w:val="00760C02"/>
    <w:rsid w:val="0076168A"/>
    <w:rsid w:val="00761F39"/>
    <w:rsid w:val="007630CD"/>
    <w:rsid w:val="007633BB"/>
    <w:rsid w:val="0076348B"/>
    <w:rsid w:val="00763600"/>
    <w:rsid w:val="007641EA"/>
    <w:rsid w:val="007644BC"/>
    <w:rsid w:val="0076591E"/>
    <w:rsid w:val="00765F71"/>
    <w:rsid w:val="00766490"/>
    <w:rsid w:val="00767C4C"/>
    <w:rsid w:val="00767D4A"/>
    <w:rsid w:val="0077027D"/>
    <w:rsid w:val="00770813"/>
    <w:rsid w:val="00770EF3"/>
    <w:rsid w:val="007710B3"/>
    <w:rsid w:val="007737FE"/>
    <w:rsid w:val="00774FB2"/>
    <w:rsid w:val="00775CFB"/>
    <w:rsid w:val="00775D48"/>
    <w:rsid w:val="00780B24"/>
    <w:rsid w:val="00780E9E"/>
    <w:rsid w:val="007811C1"/>
    <w:rsid w:val="00781B94"/>
    <w:rsid w:val="00781BB0"/>
    <w:rsid w:val="00783083"/>
    <w:rsid w:val="00783498"/>
    <w:rsid w:val="00783622"/>
    <w:rsid w:val="00784CB7"/>
    <w:rsid w:val="00785573"/>
    <w:rsid w:val="00785E28"/>
    <w:rsid w:val="007871CC"/>
    <w:rsid w:val="00787A1A"/>
    <w:rsid w:val="00787ACB"/>
    <w:rsid w:val="00787E20"/>
    <w:rsid w:val="00790B3C"/>
    <w:rsid w:val="0079180F"/>
    <w:rsid w:val="007920FE"/>
    <w:rsid w:val="00792264"/>
    <w:rsid w:val="0079235E"/>
    <w:rsid w:val="00793362"/>
    <w:rsid w:val="00794C43"/>
    <w:rsid w:val="00796B2C"/>
    <w:rsid w:val="007A008B"/>
    <w:rsid w:val="007A0139"/>
    <w:rsid w:val="007A145B"/>
    <w:rsid w:val="007A5AC9"/>
    <w:rsid w:val="007A6321"/>
    <w:rsid w:val="007A6C99"/>
    <w:rsid w:val="007A764F"/>
    <w:rsid w:val="007B236E"/>
    <w:rsid w:val="007B363A"/>
    <w:rsid w:val="007B67B6"/>
    <w:rsid w:val="007B7D32"/>
    <w:rsid w:val="007B7EA2"/>
    <w:rsid w:val="007C2861"/>
    <w:rsid w:val="007C3171"/>
    <w:rsid w:val="007C3649"/>
    <w:rsid w:val="007C5F29"/>
    <w:rsid w:val="007C6926"/>
    <w:rsid w:val="007D0356"/>
    <w:rsid w:val="007D1ACB"/>
    <w:rsid w:val="007D1FC3"/>
    <w:rsid w:val="007D25FE"/>
    <w:rsid w:val="007D34E0"/>
    <w:rsid w:val="007D4003"/>
    <w:rsid w:val="007D4C6B"/>
    <w:rsid w:val="007D5097"/>
    <w:rsid w:val="007D65D1"/>
    <w:rsid w:val="007E1877"/>
    <w:rsid w:val="007E2438"/>
    <w:rsid w:val="007E3EC4"/>
    <w:rsid w:val="007E41DD"/>
    <w:rsid w:val="007E43FE"/>
    <w:rsid w:val="007E4BDB"/>
    <w:rsid w:val="007E5B17"/>
    <w:rsid w:val="007E651C"/>
    <w:rsid w:val="007F0AD7"/>
    <w:rsid w:val="007F1029"/>
    <w:rsid w:val="007F14ED"/>
    <w:rsid w:val="007F17B8"/>
    <w:rsid w:val="007F1B7C"/>
    <w:rsid w:val="007F27E3"/>
    <w:rsid w:val="007F2AE7"/>
    <w:rsid w:val="007F3339"/>
    <w:rsid w:val="007F33A1"/>
    <w:rsid w:val="007F4D1C"/>
    <w:rsid w:val="007F5863"/>
    <w:rsid w:val="007F6352"/>
    <w:rsid w:val="00800B09"/>
    <w:rsid w:val="00800C86"/>
    <w:rsid w:val="0080256A"/>
    <w:rsid w:val="00805C82"/>
    <w:rsid w:val="00810D4D"/>
    <w:rsid w:val="00812CBF"/>
    <w:rsid w:val="0081353E"/>
    <w:rsid w:val="00814043"/>
    <w:rsid w:val="00814437"/>
    <w:rsid w:val="00814CE9"/>
    <w:rsid w:val="00815825"/>
    <w:rsid w:val="00816324"/>
    <w:rsid w:val="00816751"/>
    <w:rsid w:val="0081774B"/>
    <w:rsid w:val="00821026"/>
    <w:rsid w:val="008215A9"/>
    <w:rsid w:val="00821D0C"/>
    <w:rsid w:val="00821D10"/>
    <w:rsid w:val="008222FA"/>
    <w:rsid w:val="00822C5B"/>
    <w:rsid w:val="0082324C"/>
    <w:rsid w:val="0082374E"/>
    <w:rsid w:val="00824279"/>
    <w:rsid w:val="0082698A"/>
    <w:rsid w:val="00826FD8"/>
    <w:rsid w:val="00827C83"/>
    <w:rsid w:val="00830381"/>
    <w:rsid w:val="008303F6"/>
    <w:rsid w:val="00831C8A"/>
    <w:rsid w:val="0083299C"/>
    <w:rsid w:val="00832FEF"/>
    <w:rsid w:val="0083394E"/>
    <w:rsid w:val="008347DF"/>
    <w:rsid w:val="00835263"/>
    <w:rsid w:val="008354AB"/>
    <w:rsid w:val="00835EAD"/>
    <w:rsid w:val="008369A5"/>
    <w:rsid w:val="00836E3E"/>
    <w:rsid w:val="00842364"/>
    <w:rsid w:val="008434CC"/>
    <w:rsid w:val="00843EE3"/>
    <w:rsid w:val="008450A2"/>
    <w:rsid w:val="0084583B"/>
    <w:rsid w:val="00845F39"/>
    <w:rsid w:val="008463F3"/>
    <w:rsid w:val="00846D2A"/>
    <w:rsid w:val="00847382"/>
    <w:rsid w:val="008477FB"/>
    <w:rsid w:val="0084793B"/>
    <w:rsid w:val="0085066D"/>
    <w:rsid w:val="0085068A"/>
    <w:rsid w:val="00850C1B"/>
    <w:rsid w:val="008513FD"/>
    <w:rsid w:val="00851EF6"/>
    <w:rsid w:val="00852CA1"/>
    <w:rsid w:val="008536D2"/>
    <w:rsid w:val="008549B9"/>
    <w:rsid w:val="00854C02"/>
    <w:rsid w:val="008557A7"/>
    <w:rsid w:val="00855836"/>
    <w:rsid w:val="008559C6"/>
    <w:rsid w:val="00856548"/>
    <w:rsid w:val="008603EB"/>
    <w:rsid w:val="008629F4"/>
    <w:rsid w:val="00862CFA"/>
    <w:rsid w:val="0086350C"/>
    <w:rsid w:val="008654C0"/>
    <w:rsid w:val="00866169"/>
    <w:rsid w:val="0086662E"/>
    <w:rsid w:val="00866AFC"/>
    <w:rsid w:val="00871C6E"/>
    <w:rsid w:val="00872856"/>
    <w:rsid w:val="008754DA"/>
    <w:rsid w:val="00877177"/>
    <w:rsid w:val="00880F3A"/>
    <w:rsid w:val="008815D4"/>
    <w:rsid w:val="008825DC"/>
    <w:rsid w:val="00885AA5"/>
    <w:rsid w:val="00887142"/>
    <w:rsid w:val="008875D1"/>
    <w:rsid w:val="008907C5"/>
    <w:rsid w:val="0089292A"/>
    <w:rsid w:val="00892F81"/>
    <w:rsid w:val="0089439A"/>
    <w:rsid w:val="008A0B05"/>
    <w:rsid w:val="008A2618"/>
    <w:rsid w:val="008A2804"/>
    <w:rsid w:val="008A3A02"/>
    <w:rsid w:val="008A3B9B"/>
    <w:rsid w:val="008B083B"/>
    <w:rsid w:val="008B160D"/>
    <w:rsid w:val="008B4FE2"/>
    <w:rsid w:val="008B62CC"/>
    <w:rsid w:val="008B6611"/>
    <w:rsid w:val="008B6CAD"/>
    <w:rsid w:val="008C0CE1"/>
    <w:rsid w:val="008C1C4C"/>
    <w:rsid w:val="008C3118"/>
    <w:rsid w:val="008C582A"/>
    <w:rsid w:val="008C7C81"/>
    <w:rsid w:val="008C7E72"/>
    <w:rsid w:val="008D1EDA"/>
    <w:rsid w:val="008D2799"/>
    <w:rsid w:val="008D2EFF"/>
    <w:rsid w:val="008D3C61"/>
    <w:rsid w:val="008D48B3"/>
    <w:rsid w:val="008D60E0"/>
    <w:rsid w:val="008D61FD"/>
    <w:rsid w:val="008D67DF"/>
    <w:rsid w:val="008D71CB"/>
    <w:rsid w:val="008E3268"/>
    <w:rsid w:val="008E4851"/>
    <w:rsid w:val="008E4B85"/>
    <w:rsid w:val="008E5355"/>
    <w:rsid w:val="008E5F4F"/>
    <w:rsid w:val="008E615B"/>
    <w:rsid w:val="008E62D9"/>
    <w:rsid w:val="008E6340"/>
    <w:rsid w:val="008E67F6"/>
    <w:rsid w:val="008E7EB2"/>
    <w:rsid w:val="008F0020"/>
    <w:rsid w:val="008F072B"/>
    <w:rsid w:val="008F0888"/>
    <w:rsid w:val="008F1352"/>
    <w:rsid w:val="008F1563"/>
    <w:rsid w:val="008F3B0D"/>
    <w:rsid w:val="008F3B7C"/>
    <w:rsid w:val="008F5C41"/>
    <w:rsid w:val="008F605D"/>
    <w:rsid w:val="008F67FB"/>
    <w:rsid w:val="008F7445"/>
    <w:rsid w:val="009008A3"/>
    <w:rsid w:val="0090182A"/>
    <w:rsid w:val="00902650"/>
    <w:rsid w:val="009056A9"/>
    <w:rsid w:val="00906765"/>
    <w:rsid w:val="00906D26"/>
    <w:rsid w:val="00906E8C"/>
    <w:rsid w:val="00907349"/>
    <w:rsid w:val="00911B5C"/>
    <w:rsid w:val="009125A2"/>
    <w:rsid w:val="00912C14"/>
    <w:rsid w:val="00914F56"/>
    <w:rsid w:val="009150EE"/>
    <w:rsid w:val="0091559E"/>
    <w:rsid w:val="00915997"/>
    <w:rsid w:val="00916127"/>
    <w:rsid w:val="009164AA"/>
    <w:rsid w:val="0091682F"/>
    <w:rsid w:val="00916917"/>
    <w:rsid w:val="00917392"/>
    <w:rsid w:val="00917DD6"/>
    <w:rsid w:val="00920580"/>
    <w:rsid w:val="00920604"/>
    <w:rsid w:val="009227DA"/>
    <w:rsid w:val="00923E3E"/>
    <w:rsid w:val="009241B3"/>
    <w:rsid w:val="009253E6"/>
    <w:rsid w:val="009267C6"/>
    <w:rsid w:val="00926DAC"/>
    <w:rsid w:val="009311E9"/>
    <w:rsid w:val="009323E2"/>
    <w:rsid w:val="0093245E"/>
    <w:rsid w:val="00932775"/>
    <w:rsid w:val="0093447E"/>
    <w:rsid w:val="009346FC"/>
    <w:rsid w:val="00934DDD"/>
    <w:rsid w:val="0093541F"/>
    <w:rsid w:val="00935CC8"/>
    <w:rsid w:val="00940512"/>
    <w:rsid w:val="009407AD"/>
    <w:rsid w:val="00942B91"/>
    <w:rsid w:val="00943427"/>
    <w:rsid w:val="009468DB"/>
    <w:rsid w:val="009475AA"/>
    <w:rsid w:val="00947A71"/>
    <w:rsid w:val="00950E1A"/>
    <w:rsid w:val="00953D9F"/>
    <w:rsid w:val="00956473"/>
    <w:rsid w:val="0095696B"/>
    <w:rsid w:val="00957C1A"/>
    <w:rsid w:val="009610A6"/>
    <w:rsid w:val="00961DD9"/>
    <w:rsid w:val="0096385D"/>
    <w:rsid w:val="00964634"/>
    <w:rsid w:val="0096490D"/>
    <w:rsid w:val="00964B0E"/>
    <w:rsid w:val="0096535B"/>
    <w:rsid w:val="00970AD7"/>
    <w:rsid w:val="00970B99"/>
    <w:rsid w:val="009721DC"/>
    <w:rsid w:val="00972F39"/>
    <w:rsid w:val="00973FF6"/>
    <w:rsid w:val="009747BA"/>
    <w:rsid w:val="00974C62"/>
    <w:rsid w:val="00974FF8"/>
    <w:rsid w:val="009754F4"/>
    <w:rsid w:val="009806EC"/>
    <w:rsid w:val="009826A7"/>
    <w:rsid w:val="00987BC2"/>
    <w:rsid w:val="00987F24"/>
    <w:rsid w:val="00990016"/>
    <w:rsid w:val="00990290"/>
    <w:rsid w:val="009918CD"/>
    <w:rsid w:val="0099260C"/>
    <w:rsid w:val="0099274C"/>
    <w:rsid w:val="0099332A"/>
    <w:rsid w:val="009933D9"/>
    <w:rsid w:val="00993716"/>
    <w:rsid w:val="009941FF"/>
    <w:rsid w:val="00994BC3"/>
    <w:rsid w:val="00995DE7"/>
    <w:rsid w:val="00996711"/>
    <w:rsid w:val="00996E98"/>
    <w:rsid w:val="00997580"/>
    <w:rsid w:val="00997A17"/>
    <w:rsid w:val="009A078F"/>
    <w:rsid w:val="009A0F8A"/>
    <w:rsid w:val="009A1C51"/>
    <w:rsid w:val="009A494C"/>
    <w:rsid w:val="009A6B26"/>
    <w:rsid w:val="009A6D94"/>
    <w:rsid w:val="009A7706"/>
    <w:rsid w:val="009B0A47"/>
    <w:rsid w:val="009B1585"/>
    <w:rsid w:val="009B2526"/>
    <w:rsid w:val="009B277A"/>
    <w:rsid w:val="009B5E77"/>
    <w:rsid w:val="009B6E52"/>
    <w:rsid w:val="009B7F22"/>
    <w:rsid w:val="009C03DA"/>
    <w:rsid w:val="009C05B8"/>
    <w:rsid w:val="009C079D"/>
    <w:rsid w:val="009C08C0"/>
    <w:rsid w:val="009C277D"/>
    <w:rsid w:val="009C2870"/>
    <w:rsid w:val="009C2BD7"/>
    <w:rsid w:val="009C31D4"/>
    <w:rsid w:val="009C3B90"/>
    <w:rsid w:val="009C3D71"/>
    <w:rsid w:val="009C572B"/>
    <w:rsid w:val="009C5D69"/>
    <w:rsid w:val="009D0131"/>
    <w:rsid w:val="009D0915"/>
    <w:rsid w:val="009D1A97"/>
    <w:rsid w:val="009D2268"/>
    <w:rsid w:val="009D4381"/>
    <w:rsid w:val="009D5B35"/>
    <w:rsid w:val="009D6CE4"/>
    <w:rsid w:val="009D772B"/>
    <w:rsid w:val="009D7EA8"/>
    <w:rsid w:val="009E026D"/>
    <w:rsid w:val="009E179D"/>
    <w:rsid w:val="009E476D"/>
    <w:rsid w:val="009E4951"/>
    <w:rsid w:val="009E4DFD"/>
    <w:rsid w:val="009E5117"/>
    <w:rsid w:val="009E5302"/>
    <w:rsid w:val="009E5861"/>
    <w:rsid w:val="009E7AC2"/>
    <w:rsid w:val="009F2DB5"/>
    <w:rsid w:val="009F2DCB"/>
    <w:rsid w:val="009F42FA"/>
    <w:rsid w:val="009F58CD"/>
    <w:rsid w:val="009F5B98"/>
    <w:rsid w:val="009F60B1"/>
    <w:rsid w:val="00A000D2"/>
    <w:rsid w:val="00A0129D"/>
    <w:rsid w:val="00A013AF"/>
    <w:rsid w:val="00A0202C"/>
    <w:rsid w:val="00A032B1"/>
    <w:rsid w:val="00A03328"/>
    <w:rsid w:val="00A03FD1"/>
    <w:rsid w:val="00A042A2"/>
    <w:rsid w:val="00A05429"/>
    <w:rsid w:val="00A063CA"/>
    <w:rsid w:val="00A075FA"/>
    <w:rsid w:val="00A10348"/>
    <w:rsid w:val="00A106D4"/>
    <w:rsid w:val="00A11978"/>
    <w:rsid w:val="00A124C0"/>
    <w:rsid w:val="00A1285F"/>
    <w:rsid w:val="00A140F4"/>
    <w:rsid w:val="00A141EF"/>
    <w:rsid w:val="00A15547"/>
    <w:rsid w:val="00A20245"/>
    <w:rsid w:val="00A203B2"/>
    <w:rsid w:val="00A2081B"/>
    <w:rsid w:val="00A20A85"/>
    <w:rsid w:val="00A21274"/>
    <w:rsid w:val="00A225DA"/>
    <w:rsid w:val="00A27168"/>
    <w:rsid w:val="00A278D1"/>
    <w:rsid w:val="00A30CF2"/>
    <w:rsid w:val="00A30DC3"/>
    <w:rsid w:val="00A32C6C"/>
    <w:rsid w:val="00A3491B"/>
    <w:rsid w:val="00A3662D"/>
    <w:rsid w:val="00A41E4E"/>
    <w:rsid w:val="00A43AA9"/>
    <w:rsid w:val="00A44A8B"/>
    <w:rsid w:val="00A44E15"/>
    <w:rsid w:val="00A45129"/>
    <w:rsid w:val="00A456B6"/>
    <w:rsid w:val="00A501B9"/>
    <w:rsid w:val="00A5200D"/>
    <w:rsid w:val="00A54CEC"/>
    <w:rsid w:val="00A54E99"/>
    <w:rsid w:val="00A55930"/>
    <w:rsid w:val="00A55FEA"/>
    <w:rsid w:val="00A562E0"/>
    <w:rsid w:val="00A6054E"/>
    <w:rsid w:val="00A61FE4"/>
    <w:rsid w:val="00A62EEB"/>
    <w:rsid w:val="00A6470A"/>
    <w:rsid w:val="00A66DB6"/>
    <w:rsid w:val="00A674A6"/>
    <w:rsid w:val="00A71534"/>
    <w:rsid w:val="00A71C82"/>
    <w:rsid w:val="00A724FA"/>
    <w:rsid w:val="00A728F1"/>
    <w:rsid w:val="00A75A9D"/>
    <w:rsid w:val="00A7667F"/>
    <w:rsid w:val="00A76A83"/>
    <w:rsid w:val="00A77A65"/>
    <w:rsid w:val="00A77C03"/>
    <w:rsid w:val="00A80C0F"/>
    <w:rsid w:val="00A82EC2"/>
    <w:rsid w:val="00A8305E"/>
    <w:rsid w:val="00A844FC"/>
    <w:rsid w:val="00A84B61"/>
    <w:rsid w:val="00A857EA"/>
    <w:rsid w:val="00A8723B"/>
    <w:rsid w:val="00A877B4"/>
    <w:rsid w:val="00A9036B"/>
    <w:rsid w:val="00A909C6"/>
    <w:rsid w:val="00A90CE1"/>
    <w:rsid w:val="00A91979"/>
    <w:rsid w:val="00A91AD5"/>
    <w:rsid w:val="00A92A60"/>
    <w:rsid w:val="00A92BB9"/>
    <w:rsid w:val="00A92C4E"/>
    <w:rsid w:val="00A97191"/>
    <w:rsid w:val="00A9724D"/>
    <w:rsid w:val="00AA056B"/>
    <w:rsid w:val="00AA183A"/>
    <w:rsid w:val="00AA2579"/>
    <w:rsid w:val="00AA4BDF"/>
    <w:rsid w:val="00AA4E55"/>
    <w:rsid w:val="00AA58AD"/>
    <w:rsid w:val="00AA7323"/>
    <w:rsid w:val="00AB0B4F"/>
    <w:rsid w:val="00AB21CB"/>
    <w:rsid w:val="00AB2834"/>
    <w:rsid w:val="00AC09A6"/>
    <w:rsid w:val="00AC0EC9"/>
    <w:rsid w:val="00AC2D48"/>
    <w:rsid w:val="00AC32A1"/>
    <w:rsid w:val="00AC4D16"/>
    <w:rsid w:val="00AC4E3B"/>
    <w:rsid w:val="00AC682D"/>
    <w:rsid w:val="00AC7092"/>
    <w:rsid w:val="00AC72B3"/>
    <w:rsid w:val="00AC7ABF"/>
    <w:rsid w:val="00AD007A"/>
    <w:rsid w:val="00AD1316"/>
    <w:rsid w:val="00AD4257"/>
    <w:rsid w:val="00AD4949"/>
    <w:rsid w:val="00AD5812"/>
    <w:rsid w:val="00AD5AF8"/>
    <w:rsid w:val="00AD6B67"/>
    <w:rsid w:val="00AD7248"/>
    <w:rsid w:val="00AE00BA"/>
    <w:rsid w:val="00AE0C42"/>
    <w:rsid w:val="00AE1E6C"/>
    <w:rsid w:val="00AE2E15"/>
    <w:rsid w:val="00AE3005"/>
    <w:rsid w:val="00AE3081"/>
    <w:rsid w:val="00AE3341"/>
    <w:rsid w:val="00AE4562"/>
    <w:rsid w:val="00AE66DB"/>
    <w:rsid w:val="00AE717B"/>
    <w:rsid w:val="00AF07B5"/>
    <w:rsid w:val="00AF177D"/>
    <w:rsid w:val="00AF1785"/>
    <w:rsid w:val="00AF3461"/>
    <w:rsid w:val="00AF49E7"/>
    <w:rsid w:val="00AF5F83"/>
    <w:rsid w:val="00AF6055"/>
    <w:rsid w:val="00AF6312"/>
    <w:rsid w:val="00AF67AC"/>
    <w:rsid w:val="00B0042E"/>
    <w:rsid w:val="00B0058C"/>
    <w:rsid w:val="00B01199"/>
    <w:rsid w:val="00B0176E"/>
    <w:rsid w:val="00B02350"/>
    <w:rsid w:val="00B02435"/>
    <w:rsid w:val="00B02855"/>
    <w:rsid w:val="00B0395A"/>
    <w:rsid w:val="00B03C7C"/>
    <w:rsid w:val="00B04060"/>
    <w:rsid w:val="00B05374"/>
    <w:rsid w:val="00B070FA"/>
    <w:rsid w:val="00B07268"/>
    <w:rsid w:val="00B07B7D"/>
    <w:rsid w:val="00B07E99"/>
    <w:rsid w:val="00B10E4F"/>
    <w:rsid w:val="00B152E1"/>
    <w:rsid w:val="00B161FD"/>
    <w:rsid w:val="00B16D54"/>
    <w:rsid w:val="00B16ED5"/>
    <w:rsid w:val="00B17648"/>
    <w:rsid w:val="00B21B14"/>
    <w:rsid w:val="00B229FC"/>
    <w:rsid w:val="00B22D2E"/>
    <w:rsid w:val="00B230E8"/>
    <w:rsid w:val="00B272DD"/>
    <w:rsid w:val="00B315D5"/>
    <w:rsid w:val="00B318B8"/>
    <w:rsid w:val="00B32D3F"/>
    <w:rsid w:val="00B33D38"/>
    <w:rsid w:val="00B33DA8"/>
    <w:rsid w:val="00B34F30"/>
    <w:rsid w:val="00B35347"/>
    <w:rsid w:val="00B355AB"/>
    <w:rsid w:val="00B36C39"/>
    <w:rsid w:val="00B4455C"/>
    <w:rsid w:val="00B44A1A"/>
    <w:rsid w:val="00B468F8"/>
    <w:rsid w:val="00B4788A"/>
    <w:rsid w:val="00B500ED"/>
    <w:rsid w:val="00B509A9"/>
    <w:rsid w:val="00B52E44"/>
    <w:rsid w:val="00B53A14"/>
    <w:rsid w:val="00B55CD5"/>
    <w:rsid w:val="00B5682E"/>
    <w:rsid w:val="00B56D1F"/>
    <w:rsid w:val="00B63AAD"/>
    <w:rsid w:val="00B67F39"/>
    <w:rsid w:val="00B71A71"/>
    <w:rsid w:val="00B72B70"/>
    <w:rsid w:val="00B73F55"/>
    <w:rsid w:val="00B74EDC"/>
    <w:rsid w:val="00B752EB"/>
    <w:rsid w:val="00B75CBB"/>
    <w:rsid w:val="00B7649C"/>
    <w:rsid w:val="00B77108"/>
    <w:rsid w:val="00B80250"/>
    <w:rsid w:val="00B80D8F"/>
    <w:rsid w:val="00B8217D"/>
    <w:rsid w:val="00B82F02"/>
    <w:rsid w:val="00B8395B"/>
    <w:rsid w:val="00B857AF"/>
    <w:rsid w:val="00B85B0E"/>
    <w:rsid w:val="00B85FFA"/>
    <w:rsid w:val="00B867CC"/>
    <w:rsid w:val="00B86AD9"/>
    <w:rsid w:val="00B90AF7"/>
    <w:rsid w:val="00B91AE8"/>
    <w:rsid w:val="00B91B0C"/>
    <w:rsid w:val="00B91E54"/>
    <w:rsid w:val="00B92604"/>
    <w:rsid w:val="00B938B2"/>
    <w:rsid w:val="00B941B6"/>
    <w:rsid w:val="00B951EC"/>
    <w:rsid w:val="00B96D79"/>
    <w:rsid w:val="00BA1686"/>
    <w:rsid w:val="00BA314B"/>
    <w:rsid w:val="00BA3A2A"/>
    <w:rsid w:val="00BA4086"/>
    <w:rsid w:val="00BA441F"/>
    <w:rsid w:val="00BA4C87"/>
    <w:rsid w:val="00BA5D58"/>
    <w:rsid w:val="00BA7B59"/>
    <w:rsid w:val="00BB0510"/>
    <w:rsid w:val="00BB315A"/>
    <w:rsid w:val="00BB44ED"/>
    <w:rsid w:val="00BB608B"/>
    <w:rsid w:val="00BB72FB"/>
    <w:rsid w:val="00BC01E8"/>
    <w:rsid w:val="00BC31D1"/>
    <w:rsid w:val="00BC73BA"/>
    <w:rsid w:val="00BC7AA6"/>
    <w:rsid w:val="00BD06E9"/>
    <w:rsid w:val="00BD2C6E"/>
    <w:rsid w:val="00BD311A"/>
    <w:rsid w:val="00BD33FC"/>
    <w:rsid w:val="00BD36A1"/>
    <w:rsid w:val="00BD3B46"/>
    <w:rsid w:val="00BD4F8D"/>
    <w:rsid w:val="00BD6972"/>
    <w:rsid w:val="00BE0085"/>
    <w:rsid w:val="00BE0F65"/>
    <w:rsid w:val="00BE1760"/>
    <w:rsid w:val="00BE2BB7"/>
    <w:rsid w:val="00BE490E"/>
    <w:rsid w:val="00BE5BD1"/>
    <w:rsid w:val="00BE789A"/>
    <w:rsid w:val="00BF17C0"/>
    <w:rsid w:val="00BF277B"/>
    <w:rsid w:val="00BF4AB5"/>
    <w:rsid w:val="00BF7699"/>
    <w:rsid w:val="00BF7BA2"/>
    <w:rsid w:val="00C0100D"/>
    <w:rsid w:val="00C015C1"/>
    <w:rsid w:val="00C028CE"/>
    <w:rsid w:val="00C053E7"/>
    <w:rsid w:val="00C0578E"/>
    <w:rsid w:val="00C05998"/>
    <w:rsid w:val="00C05D07"/>
    <w:rsid w:val="00C05DE3"/>
    <w:rsid w:val="00C05F1B"/>
    <w:rsid w:val="00C06A02"/>
    <w:rsid w:val="00C07423"/>
    <w:rsid w:val="00C1018F"/>
    <w:rsid w:val="00C1090E"/>
    <w:rsid w:val="00C11620"/>
    <w:rsid w:val="00C12C7A"/>
    <w:rsid w:val="00C14BFB"/>
    <w:rsid w:val="00C15022"/>
    <w:rsid w:val="00C151AF"/>
    <w:rsid w:val="00C16EED"/>
    <w:rsid w:val="00C17206"/>
    <w:rsid w:val="00C17318"/>
    <w:rsid w:val="00C2008B"/>
    <w:rsid w:val="00C201CE"/>
    <w:rsid w:val="00C21173"/>
    <w:rsid w:val="00C232F2"/>
    <w:rsid w:val="00C248D4"/>
    <w:rsid w:val="00C25D38"/>
    <w:rsid w:val="00C260AC"/>
    <w:rsid w:val="00C262DE"/>
    <w:rsid w:val="00C265F1"/>
    <w:rsid w:val="00C31F51"/>
    <w:rsid w:val="00C33441"/>
    <w:rsid w:val="00C339E6"/>
    <w:rsid w:val="00C345D5"/>
    <w:rsid w:val="00C35284"/>
    <w:rsid w:val="00C356EF"/>
    <w:rsid w:val="00C364DD"/>
    <w:rsid w:val="00C410B1"/>
    <w:rsid w:val="00C41220"/>
    <w:rsid w:val="00C42461"/>
    <w:rsid w:val="00C42FA7"/>
    <w:rsid w:val="00C439CF"/>
    <w:rsid w:val="00C43E97"/>
    <w:rsid w:val="00C440BE"/>
    <w:rsid w:val="00C440E8"/>
    <w:rsid w:val="00C452C3"/>
    <w:rsid w:val="00C4609C"/>
    <w:rsid w:val="00C47DA9"/>
    <w:rsid w:val="00C504FA"/>
    <w:rsid w:val="00C50594"/>
    <w:rsid w:val="00C51289"/>
    <w:rsid w:val="00C5439F"/>
    <w:rsid w:val="00C55FD9"/>
    <w:rsid w:val="00C5715A"/>
    <w:rsid w:val="00C60967"/>
    <w:rsid w:val="00C630C1"/>
    <w:rsid w:val="00C63ADF"/>
    <w:rsid w:val="00C642E5"/>
    <w:rsid w:val="00C644E9"/>
    <w:rsid w:val="00C64EB3"/>
    <w:rsid w:val="00C652B3"/>
    <w:rsid w:val="00C71446"/>
    <w:rsid w:val="00C71B50"/>
    <w:rsid w:val="00C728FB"/>
    <w:rsid w:val="00C72C14"/>
    <w:rsid w:val="00C73B44"/>
    <w:rsid w:val="00C73F01"/>
    <w:rsid w:val="00C74A2F"/>
    <w:rsid w:val="00C74CB8"/>
    <w:rsid w:val="00C75078"/>
    <w:rsid w:val="00C7530A"/>
    <w:rsid w:val="00C75437"/>
    <w:rsid w:val="00C75450"/>
    <w:rsid w:val="00C75734"/>
    <w:rsid w:val="00C76E85"/>
    <w:rsid w:val="00C77645"/>
    <w:rsid w:val="00C80330"/>
    <w:rsid w:val="00C81878"/>
    <w:rsid w:val="00C8205E"/>
    <w:rsid w:val="00C82106"/>
    <w:rsid w:val="00C82219"/>
    <w:rsid w:val="00C82814"/>
    <w:rsid w:val="00C82CDF"/>
    <w:rsid w:val="00C82E50"/>
    <w:rsid w:val="00C83636"/>
    <w:rsid w:val="00C83D6C"/>
    <w:rsid w:val="00C858E9"/>
    <w:rsid w:val="00C85D8D"/>
    <w:rsid w:val="00C86BD4"/>
    <w:rsid w:val="00C873FB"/>
    <w:rsid w:val="00C87729"/>
    <w:rsid w:val="00C87A58"/>
    <w:rsid w:val="00C904A4"/>
    <w:rsid w:val="00C91B8E"/>
    <w:rsid w:val="00C91C39"/>
    <w:rsid w:val="00C91F08"/>
    <w:rsid w:val="00C93F97"/>
    <w:rsid w:val="00C96BBB"/>
    <w:rsid w:val="00C96EB4"/>
    <w:rsid w:val="00CA269C"/>
    <w:rsid w:val="00CA2A3D"/>
    <w:rsid w:val="00CA31CB"/>
    <w:rsid w:val="00CA5D49"/>
    <w:rsid w:val="00CA6B7F"/>
    <w:rsid w:val="00CA7914"/>
    <w:rsid w:val="00CA7AB7"/>
    <w:rsid w:val="00CB0000"/>
    <w:rsid w:val="00CB0918"/>
    <w:rsid w:val="00CB0A88"/>
    <w:rsid w:val="00CB0ED3"/>
    <w:rsid w:val="00CB23FB"/>
    <w:rsid w:val="00CB28BE"/>
    <w:rsid w:val="00CB2D3B"/>
    <w:rsid w:val="00CB355C"/>
    <w:rsid w:val="00CB3E97"/>
    <w:rsid w:val="00CB4A7E"/>
    <w:rsid w:val="00CB5D63"/>
    <w:rsid w:val="00CC01FD"/>
    <w:rsid w:val="00CC0E21"/>
    <w:rsid w:val="00CC137D"/>
    <w:rsid w:val="00CC50A1"/>
    <w:rsid w:val="00CC7DFE"/>
    <w:rsid w:val="00CC7FE5"/>
    <w:rsid w:val="00CD02CE"/>
    <w:rsid w:val="00CD0701"/>
    <w:rsid w:val="00CD17C5"/>
    <w:rsid w:val="00CD245F"/>
    <w:rsid w:val="00CD46CC"/>
    <w:rsid w:val="00CD5764"/>
    <w:rsid w:val="00CD7153"/>
    <w:rsid w:val="00CE030A"/>
    <w:rsid w:val="00CE055C"/>
    <w:rsid w:val="00CE0A27"/>
    <w:rsid w:val="00CE23C5"/>
    <w:rsid w:val="00CE2DC1"/>
    <w:rsid w:val="00CE41DA"/>
    <w:rsid w:val="00CE5296"/>
    <w:rsid w:val="00CE58FB"/>
    <w:rsid w:val="00CE6DD4"/>
    <w:rsid w:val="00CE722A"/>
    <w:rsid w:val="00CE74C8"/>
    <w:rsid w:val="00CE77AD"/>
    <w:rsid w:val="00CE7C5E"/>
    <w:rsid w:val="00CF0DDA"/>
    <w:rsid w:val="00CF2451"/>
    <w:rsid w:val="00CF3BC5"/>
    <w:rsid w:val="00CF4258"/>
    <w:rsid w:val="00CF49FB"/>
    <w:rsid w:val="00CF5CC8"/>
    <w:rsid w:val="00CF61D3"/>
    <w:rsid w:val="00D04B04"/>
    <w:rsid w:val="00D07696"/>
    <w:rsid w:val="00D07D33"/>
    <w:rsid w:val="00D11694"/>
    <w:rsid w:val="00D11ACD"/>
    <w:rsid w:val="00D1325A"/>
    <w:rsid w:val="00D13CFF"/>
    <w:rsid w:val="00D13F32"/>
    <w:rsid w:val="00D14476"/>
    <w:rsid w:val="00D1485D"/>
    <w:rsid w:val="00D17D3B"/>
    <w:rsid w:val="00D233B7"/>
    <w:rsid w:val="00D23D52"/>
    <w:rsid w:val="00D23FDC"/>
    <w:rsid w:val="00D25B40"/>
    <w:rsid w:val="00D25F7F"/>
    <w:rsid w:val="00D2616F"/>
    <w:rsid w:val="00D3030B"/>
    <w:rsid w:val="00D306CE"/>
    <w:rsid w:val="00D31314"/>
    <w:rsid w:val="00D323BA"/>
    <w:rsid w:val="00D33207"/>
    <w:rsid w:val="00D340E4"/>
    <w:rsid w:val="00D34629"/>
    <w:rsid w:val="00D34BA4"/>
    <w:rsid w:val="00D3619C"/>
    <w:rsid w:val="00D36B45"/>
    <w:rsid w:val="00D370C4"/>
    <w:rsid w:val="00D37ABC"/>
    <w:rsid w:val="00D40CF8"/>
    <w:rsid w:val="00D46485"/>
    <w:rsid w:val="00D47980"/>
    <w:rsid w:val="00D500C1"/>
    <w:rsid w:val="00D50B0D"/>
    <w:rsid w:val="00D55B80"/>
    <w:rsid w:val="00D5674F"/>
    <w:rsid w:val="00D56963"/>
    <w:rsid w:val="00D56DFC"/>
    <w:rsid w:val="00D5701A"/>
    <w:rsid w:val="00D60CC9"/>
    <w:rsid w:val="00D62334"/>
    <w:rsid w:val="00D62417"/>
    <w:rsid w:val="00D62BC6"/>
    <w:rsid w:val="00D635BC"/>
    <w:rsid w:val="00D64CEF"/>
    <w:rsid w:val="00D64D41"/>
    <w:rsid w:val="00D6521D"/>
    <w:rsid w:val="00D6548F"/>
    <w:rsid w:val="00D66747"/>
    <w:rsid w:val="00D720B6"/>
    <w:rsid w:val="00D734E0"/>
    <w:rsid w:val="00D75268"/>
    <w:rsid w:val="00D753C4"/>
    <w:rsid w:val="00D75631"/>
    <w:rsid w:val="00D76138"/>
    <w:rsid w:val="00D7637D"/>
    <w:rsid w:val="00D77347"/>
    <w:rsid w:val="00D81323"/>
    <w:rsid w:val="00D8158D"/>
    <w:rsid w:val="00D81EB7"/>
    <w:rsid w:val="00D82076"/>
    <w:rsid w:val="00D82938"/>
    <w:rsid w:val="00D85A99"/>
    <w:rsid w:val="00D87A8C"/>
    <w:rsid w:val="00D918E8"/>
    <w:rsid w:val="00D91AB2"/>
    <w:rsid w:val="00D94466"/>
    <w:rsid w:val="00D94748"/>
    <w:rsid w:val="00D96A02"/>
    <w:rsid w:val="00D970BE"/>
    <w:rsid w:val="00DA1B29"/>
    <w:rsid w:val="00DA1C24"/>
    <w:rsid w:val="00DA2683"/>
    <w:rsid w:val="00DA3AC6"/>
    <w:rsid w:val="00DA4136"/>
    <w:rsid w:val="00DA43DA"/>
    <w:rsid w:val="00DA4E2A"/>
    <w:rsid w:val="00DA6F3A"/>
    <w:rsid w:val="00DA7CF0"/>
    <w:rsid w:val="00DB08D8"/>
    <w:rsid w:val="00DB145C"/>
    <w:rsid w:val="00DB1A15"/>
    <w:rsid w:val="00DB3072"/>
    <w:rsid w:val="00DB3705"/>
    <w:rsid w:val="00DB43DD"/>
    <w:rsid w:val="00DB4C1B"/>
    <w:rsid w:val="00DB56F7"/>
    <w:rsid w:val="00DC16E4"/>
    <w:rsid w:val="00DC3119"/>
    <w:rsid w:val="00DC5E76"/>
    <w:rsid w:val="00DC6EF4"/>
    <w:rsid w:val="00DD14F9"/>
    <w:rsid w:val="00DD177A"/>
    <w:rsid w:val="00DD3695"/>
    <w:rsid w:val="00DD62AE"/>
    <w:rsid w:val="00DD6517"/>
    <w:rsid w:val="00DE0615"/>
    <w:rsid w:val="00DE0C0F"/>
    <w:rsid w:val="00DE12EA"/>
    <w:rsid w:val="00DE1DE1"/>
    <w:rsid w:val="00DE6212"/>
    <w:rsid w:val="00DE66DC"/>
    <w:rsid w:val="00DE6A40"/>
    <w:rsid w:val="00DE78A0"/>
    <w:rsid w:val="00DF10FE"/>
    <w:rsid w:val="00DF1902"/>
    <w:rsid w:val="00DF2AB3"/>
    <w:rsid w:val="00DF2FF5"/>
    <w:rsid w:val="00DF4664"/>
    <w:rsid w:val="00DF474B"/>
    <w:rsid w:val="00E03025"/>
    <w:rsid w:val="00E030BF"/>
    <w:rsid w:val="00E03EC2"/>
    <w:rsid w:val="00E046D7"/>
    <w:rsid w:val="00E04CCA"/>
    <w:rsid w:val="00E04E26"/>
    <w:rsid w:val="00E06371"/>
    <w:rsid w:val="00E06F36"/>
    <w:rsid w:val="00E07436"/>
    <w:rsid w:val="00E100B7"/>
    <w:rsid w:val="00E11C76"/>
    <w:rsid w:val="00E12370"/>
    <w:rsid w:val="00E136D0"/>
    <w:rsid w:val="00E13883"/>
    <w:rsid w:val="00E145CC"/>
    <w:rsid w:val="00E204C0"/>
    <w:rsid w:val="00E21DE3"/>
    <w:rsid w:val="00E238C5"/>
    <w:rsid w:val="00E25BDD"/>
    <w:rsid w:val="00E26AD5"/>
    <w:rsid w:val="00E26EEA"/>
    <w:rsid w:val="00E270B5"/>
    <w:rsid w:val="00E3055E"/>
    <w:rsid w:val="00E32081"/>
    <w:rsid w:val="00E345AA"/>
    <w:rsid w:val="00E347BA"/>
    <w:rsid w:val="00E34BFD"/>
    <w:rsid w:val="00E35E6D"/>
    <w:rsid w:val="00E40967"/>
    <w:rsid w:val="00E40AAA"/>
    <w:rsid w:val="00E42A50"/>
    <w:rsid w:val="00E43329"/>
    <w:rsid w:val="00E450BB"/>
    <w:rsid w:val="00E45E27"/>
    <w:rsid w:val="00E4635F"/>
    <w:rsid w:val="00E47CFD"/>
    <w:rsid w:val="00E51BF9"/>
    <w:rsid w:val="00E52A4E"/>
    <w:rsid w:val="00E54FC4"/>
    <w:rsid w:val="00E55D41"/>
    <w:rsid w:val="00E60545"/>
    <w:rsid w:val="00E60731"/>
    <w:rsid w:val="00E63438"/>
    <w:rsid w:val="00E6405A"/>
    <w:rsid w:val="00E6507D"/>
    <w:rsid w:val="00E65430"/>
    <w:rsid w:val="00E6599E"/>
    <w:rsid w:val="00E65E10"/>
    <w:rsid w:val="00E66EE2"/>
    <w:rsid w:val="00E67A12"/>
    <w:rsid w:val="00E70E6A"/>
    <w:rsid w:val="00E71329"/>
    <w:rsid w:val="00E71A50"/>
    <w:rsid w:val="00E72199"/>
    <w:rsid w:val="00E72C7B"/>
    <w:rsid w:val="00E7402E"/>
    <w:rsid w:val="00E741BB"/>
    <w:rsid w:val="00E74999"/>
    <w:rsid w:val="00E759EC"/>
    <w:rsid w:val="00E77755"/>
    <w:rsid w:val="00E77E04"/>
    <w:rsid w:val="00E8214A"/>
    <w:rsid w:val="00E82585"/>
    <w:rsid w:val="00E8360E"/>
    <w:rsid w:val="00E83E6A"/>
    <w:rsid w:val="00E8417C"/>
    <w:rsid w:val="00E85ACD"/>
    <w:rsid w:val="00E86D1A"/>
    <w:rsid w:val="00E87294"/>
    <w:rsid w:val="00E877B6"/>
    <w:rsid w:val="00E91B86"/>
    <w:rsid w:val="00E91DEE"/>
    <w:rsid w:val="00E932AB"/>
    <w:rsid w:val="00E936AF"/>
    <w:rsid w:val="00E94C3D"/>
    <w:rsid w:val="00E94E4E"/>
    <w:rsid w:val="00E95763"/>
    <w:rsid w:val="00EA01D8"/>
    <w:rsid w:val="00EA156D"/>
    <w:rsid w:val="00EA3383"/>
    <w:rsid w:val="00EA41BF"/>
    <w:rsid w:val="00EA534B"/>
    <w:rsid w:val="00EA60BE"/>
    <w:rsid w:val="00EA64D5"/>
    <w:rsid w:val="00EA7D56"/>
    <w:rsid w:val="00EB12B5"/>
    <w:rsid w:val="00EB2366"/>
    <w:rsid w:val="00EB2B6B"/>
    <w:rsid w:val="00EB323A"/>
    <w:rsid w:val="00EB3B0F"/>
    <w:rsid w:val="00EB6361"/>
    <w:rsid w:val="00EB68A3"/>
    <w:rsid w:val="00EC0A16"/>
    <w:rsid w:val="00EC1E92"/>
    <w:rsid w:val="00EC23B4"/>
    <w:rsid w:val="00EC3481"/>
    <w:rsid w:val="00EC4256"/>
    <w:rsid w:val="00EC59B0"/>
    <w:rsid w:val="00EC5AEF"/>
    <w:rsid w:val="00EC5C54"/>
    <w:rsid w:val="00EC7133"/>
    <w:rsid w:val="00EC7783"/>
    <w:rsid w:val="00EC7B93"/>
    <w:rsid w:val="00EC7DF2"/>
    <w:rsid w:val="00ED1D53"/>
    <w:rsid w:val="00ED2C02"/>
    <w:rsid w:val="00ED3BB1"/>
    <w:rsid w:val="00ED4ACB"/>
    <w:rsid w:val="00ED5013"/>
    <w:rsid w:val="00ED608E"/>
    <w:rsid w:val="00EE07CE"/>
    <w:rsid w:val="00EE0ECC"/>
    <w:rsid w:val="00EE13CB"/>
    <w:rsid w:val="00EE1FF8"/>
    <w:rsid w:val="00EE25E6"/>
    <w:rsid w:val="00EE2999"/>
    <w:rsid w:val="00EE3C3C"/>
    <w:rsid w:val="00EE422E"/>
    <w:rsid w:val="00EE52DB"/>
    <w:rsid w:val="00EE58D1"/>
    <w:rsid w:val="00EE5CE2"/>
    <w:rsid w:val="00EF04E6"/>
    <w:rsid w:val="00EF0AA4"/>
    <w:rsid w:val="00EF2CFA"/>
    <w:rsid w:val="00EF6858"/>
    <w:rsid w:val="00EF6C68"/>
    <w:rsid w:val="00EF738F"/>
    <w:rsid w:val="00EF74D1"/>
    <w:rsid w:val="00F008E7"/>
    <w:rsid w:val="00F00AC6"/>
    <w:rsid w:val="00F00AF2"/>
    <w:rsid w:val="00F0229D"/>
    <w:rsid w:val="00F037CC"/>
    <w:rsid w:val="00F05848"/>
    <w:rsid w:val="00F0649A"/>
    <w:rsid w:val="00F103A1"/>
    <w:rsid w:val="00F129EE"/>
    <w:rsid w:val="00F13AC0"/>
    <w:rsid w:val="00F145A7"/>
    <w:rsid w:val="00F15695"/>
    <w:rsid w:val="00F16C26"/>
    <w:rsid w:val="00F17684"/>
    <w:rsid w:val="00F179C2"/>
    <w:rsid w:val="00F17B45"/>
    <w:rsid w:val="00F208C8"/>
    <w:rsid w:val="00F20C57"/>
    <w:rsid w:val="00F23A7E"/>
    <w:rsid w:val="00F24065"/>
    <w:rsid w:val="00F2413A"/>
    <w:rsid w:val="00F242AF"/>
    <w:rsid w:val="00F24E4D"/>
    <w:rsid w:val="00F260BA"/>
    <w:rsid w:val="00F26374"/>
    <w:rsid w:val="00F26583"/>
    <w:rsid w:val="00F26B4A"/>
    <w:rsid w:val="00F27EA9"/>
    <w:rsid w:val="00F331D2"/>
    <w:rsid w:val="00F33403"/>
    <w:rsid w:val="00F4042D"/>
    <w:rsid w:val="00F416A9"/>
    <w:rsid w:val="00F42CEC"/>
    <w:rsid w:val="00F42E96"/>
    <w:rsid w:val="00F4318C"/>
    <w:rsid w:val="00F43F5D"/>
    <w:rsid w:val="00F459FE"/>
    <w:rsid w:val="00F45D79"/>
    <w:rsid w:val="00F46F4E"/>
    <w:rsid w:val="00F505CD"/>
    <w:rsid w:val="00F50D73"/>
    <w:rsid w:val="00F51EB2"/>
    <w:rsid w:val="00F54B2B"/>
    <w:rsid w:val="00F54C3D"/>
    <w:rsid w:val="00F54D21"/>
    <w:rsid w:val="00F553DD"/>
    <w:rsid w:val="00F55608"/>
    <w:rsid w:val="00F57E12"/>
    <w:rsid w:val="00F62F35"/>
    <w:rsid w:val="00F641F0"/>
    <w:rsid w:val="00F64EEF"/>
    <w:rsid w:val="00F66AD5"/>
    <w:rsid w:val="00F66E06"/>
    <w:rsid w:val="00F6723C"/>
    <w:rsid w:val="00F673F1"/>
    <w:rsid w:val="00F7022A"/>
    <w:rsid w:val="00F70714"/>
    <w:rsid w:val="00F70AC8"/>
    <w:rsid w:val="00F710A3"/>
    <w:rsid w:val="00F71D96"/>
    <w:rsid w:val="00F728DD"/>
    <w:rsid w:val="00F729C5"/>
    <w:rsid w:val="00F72EA3"/>
    <w:rsid w:val="00F74CF3"/>
    <w:rsid w:val="00F76B1B"/>
    <w:rsid w:val="00F81AB6"/>
    <w:rsid w:val="00F8572B"/>
    <w:rsid w:val="00F8595B"/>
    <w:rsid w:val="00F87BBF"/>
    <w:rsid w:val="00F87E7F"/>
    <w:rsid w:val="00F90D5C"/>
    <w:rsid w:val="00F951A2"/>
    <w:rsid w:val="00F961F1"/>
    <w:rsid w:val="00F97711"/>
    <w:rsid w:val="00F9789E"/>
    <w:rsid w:val="00FA0720"/>
    <w:rsid w:val="00FA07C5"/>
    <w:rsid w:val="00FA0D0E"/>
    <w:rsid w:val="00FA1DD4"/>
    <w:rsid w:val="00FA217C"/>
    <w:rsid w:val="00FA6195"/>
    <w:rsid w:val="00FB062D"/>
    <w:rsid w:val="00FB094E"/>
    <w:rsid w:val="00FB2825"/>
    <w:rsid w:val="00FB2E76"/>
    <w:rsid w:val="00FB3710"/>
    <w:rsid w:val="00FB3765"/>
    <w:rsid w:val="00FB377B"/>
    <w:rsid w:val="00FB39D4"/>
    <w:rsid w:val="00FB4215"/>
    <w:rsid w:val="00FB5064"/>
    <w:rsid w:val="00FB5B18"/>
    <w:rsid w:val="00FB603D"/>
    <w:rsid w:val="00FC0F8B"/>
    <w:rsid w:val="00FC315B"/>
    <w:rsid w:val="00FC4A16"/>
    <w:rsid w:val="00FC4D46"/>
    <w:rsid w:val="00FC64DE"/>
    <w:rsid w:val="00FC741C"/>
    <w:rsid w:val="00FC7A6C"/>
    <w:rsid w:val="00FD0E92"/>
    <w:rsid w:val="00FD1664"/>
    <w:rsid w:val="00FD1A48"/>
    <w:rsid w:val="00FD2D15"/>
    <w:rsid w:val="00FD3BCA"/>
    <w:rsid w:val="00FD4792"/>
    <w:rsid w:val="00FD5953"/>
    <w:rsid w:val="00FD5BEB"/>
    <w:rsid w:val="00FD6114"/>
    <w:rsid w:val="00FE049E"/>
    <w:rsid w:val="00FE24ED"/>
    <w:rsid w:val="00FE412C"/>
    <w:rsid w:val="00FE4EAC"/>
    <w:rsid w:val="00FE5493"/>
    <w:rsid w:val="00FE5928"/>
    <w:rsid w:val="00FE5AE5"/>
    <w:rsid w:val="00FE7595"/>
    <w:rsid w:val="00FF044C"/>
    <w:rsid w:val="00FF20A1"/>
    <w:rsid w:val="00FF2514"/>
    <w:rsid w:val="00FF58CB"/>
    <w:rsid w:val="00FF7B5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E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color w:val="222222"/>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t a glance text"/>
    <w:qFormat/>
    <w:rsid w:val="00392E63"/>
    <w:pPr>
      <w:tabs>
        <w:tab w:val="right" w:leader="dot" w:pos="2880"/>
      </w:tabs>
    </w:pPr>
    <w:rPr>
      <w:rFonts w:ascii="Gill Sans" w:hAnsi="Gill Sans" w:cs="Gill Sans"/>
      <w:sz w:val="22"/>
      <w:lang w:val="en-US"/>
    </w:rPr>
  </w:style>
  <w:style w:type="paragraph" w:styleId="Heading1">
    <w:name w:val="heading 1"/>
    <w:basedOn w:val="Normal"/>
    <w:next w:val="Normal"/>
    <w:link w:val="Heading1Char"/>
    <w:uiPriority w:val="9"/>
    <w:qFormat/>
    <w:rsid w:val="00392E63"/>
    <w:pPr>
      <w:keepNext/>
      <w:keepLines/>
      <w:spacing w:before="480"/>
      <w:outlineLvl w:val="0"/>
    </w:pPr>
    <w:rPr>
      <w:rFonts w:eastAsiaTheme="majorEastAsia"/>
      <w:b/>
      <w:bCs/>
      <w:color w:val="1F497D" w:themeColor="text2"/>
      <w:sz w:val="32"/>
      <w:szCs w:val="32"/>
    </w:rPr>
  </w:style>
  <w:style w:type="paragraph" w:styleId="Heading2">
    <w:name w:val="heading 2"/>
    <w:basedOn w:val="Normal"/>
    <w:next w:val="Normal"/>
    <w:link w:val="Heading2Char"/>
    <w:uiPriority w:val="9"/>
    <w:unhideWhenUsed/>
    <w:qFormat/>
    <w:rsid w:val="00392E63"/>
    <w:pPr>
      <w:keepNext/>
      <w:keepLines/>
      <w:spacing w:before="200"/>
      <w:outlineLvl w:val="1"/>
    </w:pPr>
    <w:rPr>
      <w:rFonts w:eastAsiaTheme="majorEastAsia"/>
      <w:b/>
      <w:bCs/>
      <w:color w:val="1F497D" w:themeColor="text2"/>
      <w:sz w:val="26"/>
      <w:szCs w:val="26"/>
    </w:rPr>
  </w:style>
  <w:style w:type="paragraph" w:styleId="Heading3">
    <w:name w:val="heading 3"/>
    <w:basedOn w:val="Normal"/>
    <w:next w:val="Normal"/>
    <w:link w:val="Heading3Char"/>
    <w:autoRedefine/>
    <w:uiPriority w:val="9"/>
    <w:unhideWhenUsed/>
    <w:qFormat/>
    <w:rsid w:val="00FE5928"/>
    <w:pPr>
      <w:keepNext/>
      <w:keepLines/>
      <w:spacing w:before="200"/>
      <w:outlineLvl w:val="2"/>
    </w:pPr>
    <w:rPr>
      <w:rFonts w:eastAsiaTheme="majorEastAsia"/>
      <w:b/>
      <w:bCs/>
      <w:color w:val="1F497D" w:themeColor="text2"/>
      <w:lang w:val="en-GB"/>
    </w:rPr>
  </w:style>
  <w:style w:type="paragraph" w:styleId="Heading4">
    <w:name w:val="heading 4"/>
    <w:basedOn w:val="Normal"/>
    <w:next w:val="Normal"/>
    <w:link w:val="Heading4Char"/>
    <w:uiPriority w:val="9"/>
    <w:unhideWhenUsed/>
    <w:qFormat/>
    <w:rsid w:val="00392E63"/>
    <w:pPr>
      <w:keepNext/>
      <w:keepLines/>
      <w:spacing w:before="200"/>
      <w:outlineLvl w:val="3"/>
    </w:pPr>
    <w:rPr>
      <w:rFonts w:eastAsiaTheme="majorEastAsia"/>
      <w:b/>
      <w:bCs/>
      <w:i/>
      <w:iCs/>
      <w:color w:val="1F497D" w:themeColor="text2"/>
    </w:rPr>
  </w:style>
  <w:style w:type="paragraph" w:styleId="Heading5">
    <w:name w:val="heading 5"/>
    <w:aliases w:val="Table title outside"/>
    <w:basedOn w:val="Normal"/>
    <w:next w:val="Normal"/>
    <w:link w:val="Heading5Char"/>
    <w:uiPriority w:val="9"/>
    <w:semiHidden/>
    <w:unhideWhenUsed/>
    <w:qFormat/>
    <w:rsid w:val="00392E63"/>
    <w:pPr>
      <w:keepNext/>
      <w:keepLines/>
      <w:spacing w:before="200"/>
      <w:outlineLvl w:val="4"/>
    </w:pPr>
    <w:rPr>
      <w:rFonts w:asciiTheme="majorHAnsi" w:eastAsiaTheme="majorEastAsia" w:hAnsiTheme="majorHAnsi"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63"/>
    <w:rPr>
      <w:rFonts w:ascii="Gill Sans" w:eastAsiaTheme="majorEastAsia" w:hAnsi="Gill Sans" w:cs="Gill Sans"/>
      <w:b/>
      <w:bCs/>
      <w:color w:val="1F497D" w:themeColor="text2"/>
      <w:sz w:val="32"/>
      <w:szCs w:val="32"/>
    </w:rPr>
  </w:style>
  <w:style w:type="character" w:customStyle="1" w:styleId="Heading2Char">
    <w:name w:val="Heading 2 Char"/>
    <w:basedOn w:val="DefaultParagraphFont"/>
    <w:link w:val="Heading2"/>
    <w:uiPriority w:val="9"/>
    <w:rsid w:val="00392E63"/>
    <w:rPr>
      <w:rFonts w:ascii="Gill Sans" w:eastAsiaTheme="majorEastAsia" w:hAnsi="Gill Sans" w:cs="Gill Sans"/>
      <w:b/>
      <w:bCs/>
      <w:color w:val="1F497D" w:themeColor="text2"/>
      <w:sz w:val="26"/>
      <w:szCs w:val="26"/>
    </w:rPr>
  </w:style>
  <w:style w:type="character" w:customStyle="1" w:styleId="Heading3Char">
    <w:name w:val="Heading 3 Char"/>
    <w:basedOn w:val="DefaultParagraphFont"/>
    <w:link w:val="Heading3"/>
    <w:uiPriority w:val="9"/>
    <w:rsid w:val="00FE5928"/>
    <w:rPr>
      <w:rFonts w:ascii="Gill Sans" w:eastAsiaTheme="majorEastAsia" w:hAnsi="Gill Sans" w:cs="Gill Sans"/>
      <w:b/>
      <w:bCs/>
      <w:color w:val="1F497D" w:themeColor="text2"/>
      <w:sz w:val="22"/>
      <w:lang w:val="en-GB"/>
    </w:rPr>
  </w:style>
  <w:style w:type="character" w:customStyle="1" w:styleId="Heading4Char">
    <w:name w:val="Heading 4 Char"/>
    <w:basedOn w:val="DefaultParagraphFont"/>
    <w:link w:val="Heading4"/>
    <w:uiPriority w:val="9"/>
    <w:rsid w:val="00392E63"/>
    <w:rPr>
      <w:rFonts w:ascii="Gill Sans" w:eastAsiaTheme="majorEastAsia" w:hAnsi="Gill Sans" w:cs="Gill Sans"/>
      <w:b/>
      <w:bCs/>
      <w:i/>
      <w:iCs/>
      <w:color w:val="1F497D" w:themeColor="text2"/>
      <w:sz w:val="22"/>
    </w:rPr>
  </w:style>
  <w:style w:type="character" w:customStyle="1" w:styleId="Heading5Char">
    <w:name w:val="Heading 5 Char"/>
    <w:aliases w:val="Table title outside Char"/>
    <w:basedOn w:val="DefaultParagraphFont"/>
    <w:link w:val="Heading5"/>
    <w:uiPriority w:val="9"/>
    <w:semiHidden/>
    <w:rsid w:val="00392E63"/>
    <w:rPr>
      <w:rFonts w:asciiTheme="majorHAnsi" w:eastAsiaTheme="majorEastAsia" w:hAnsiTheme="majorHAnsi" w:cstheme="majorBidi"/>
      <w:b/>
      <w:color w:val="1F497D" w:themeColor="text2"/>
      <w:sz w:val="22"/>
    </w:rPr>
  </w:style>
  <w:style w:type="table" w:styleId="TableGrid">
    <w:name w:val="Table Grid"/>
    <w:basedOn w:val="TableNormal"/>
    <w:uiPriority w:val="59"/>
    <w:rsid w:val="00814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62096D"/>
    <w:pPr>
      <w:numPr>
        <w:numId w:val="9"/>
      </w:numPr>
      <w:contextualSpacing/>
    </w:pPr>
    <w:rPr>
      <w:rFonts w:eastAsiaTheme="minorHAnsi"/>
      <w:lang w:val="en-GB"/>
    </w:rPr>
  </w:style>
  <w:style w:type="paragraph" w:styleId="Title">
    <w:name w:val="Title"/>
    <w:basedOn w:val="Normal"/>
    <w:next w:val="Normal"/>
    <w:link w:val="TitleChar"/>
    <w:uiPriority w:val="10"/>
    <w:qFormat/>
    <w:rsid w:val="00392E63"/>
    <w:pPr>
      <w:pBdr>
        <w:bottom w:val="single" w:sz="8" w:space="1" w:color="1F497D" w:themeColor="text2"/>
      </w:pBdr>
      <w:spacing w:after="300"/>
      <w:contextualSpacing/>
    </w:pPr>
    <w:rPr>
      <w:rFonts w:eastAsiaTheme="majorEastAsia"/>
      <w:color w:val="000000" w:themeColor="text1"/>
      <w:spacing w:val="5"/>
      <w:kern w:val="28"/>
      <w:sz w:val="52"/>
      <w:szCs w:val="52"/>
    </w:rPr>
  </w:style>
  <w:style w:type="character" w:customStyle="1" w:styleId="TitleChar">
    <w:name w:val="Title Char"/>
    <w:basedOn w:val="DefaultParagraphFont"/>
    <w:link w:val="Title"/>
    <w:uiPriority w:val="10"/>
    <w:rsid w:val="00392E63"/>
    <w:rPr>
      <w:rFonts w:ascii="Gill Sans" w:eastAsiaTheme="majorEastAsia" w:hAnsi="Gill Sans" w:cs="Gill Sans"/>
      <w:color w:val="000000" w:themeColor="text1"/>
      <w:spacing w:val="5"/>
      <w:kern w:val="28"/>
      <w:sz w:val="52"/>
      <w:szCs w:val="52"/>
    </w:rPr>
  </w:style>
  <w:style w:type="paragraph" w:styleId="Subtitle">
    <w:name w:val="Subtitle"/>
    <w:basedOn w:val="Normal"/>
    <w:next w:val="Normal"/>
    <w:link w:val="SubtitleChar"/>
    <w:uiPriority w:val="11"/>
    <w:qFormat/>
    <w:rsid w:val="00392E63"/>
    <w:pPr>
      <w:numPr>
        <w:ilvl w:val="1"/>
      </w:numPr>
      <w:spacing w:after="60"/>
    </w:pPr>
    <w:rPr>
      <w:rFonts w:eastAsiaTheme="majorEastAsia"/>
      <w:iCs/>
      <w:color w:val="1F497D" w:themeColor="text2"/>
      <w:spacing w:val="15"/>
      <w:sz w:val="36"/>
      <w:szCs w:val="36"/>
    </w:rPr>
  </w:style>
  <w:style w:type="character" w:customStyle="1" w:styleId="SubtitleChar">
    <w:name w:val="Subtitle Char"/>
    <w:basedOn w:val="DefaultParagraphFont"/>
    <w:link w:val="Subtitle"/>
    <w:uiPriority w:val="11"/>
    <w:rsid w:val="00392E63"/>
    <w:rPr>
      <w:rFonts w:ascii="Gill Sans" w:eastAsiaTheme="majorEastAsia" w:hAnsi="Gill Sans" w:cs="Gill Sans"/>
      <w:iCs/>
      <w:color w:val="1F497D" w:themeColor="text2"/>
      <w:spacing w:val="15"/>
      <w:sz w:val="36"/>
      <w:szCs w:val="36"/>
    </w:rPr>
  </w:style>
  <w:style w:type="character" w:styleId="SubtleReference">
    <w:name w:val="Subtle Reference"/>
    <w:uiPriority w:val="31"/>
    <w:rsid w:val="00EB323A"/>
    <w:rPr>
      <w:b/>
    </w:rPr>
  </w:style>
  <w:style w:type="paragraph" w:styleId="BalloonText">
    <w:name w:val="Balloon Text"/>
    <w:basedOn w:val="Normal"/>
    <w:link w:val="BalloonTextChar"/>
    <w:uiPriority w:val="99"/>
    <w:semiHidden/>
    <w:unhideWhenUsed/>
    <w:rsid w:val="003178D9"/>
    <w:rPr>
      <w:rFonts w:ascii="Tahoma" w:hAnsi="Tahoma" w:cs="Tahoma"/>
      <w:sz w:val="16"/>
      <w:szCs w:val="16"/>
    </w:rPr>
  </w:style>
  <w:style w:type="character" w:customStyle="1" w:styleId="BalloonTextChar">
    <w:name w:val="Balloon Text Char"/>
    <w:basedOn w:val="DefaultParagraphFont"/>
    <w:link w:val="BalloonText"/>
    <w:uiPriority w:val="99"/>
    <w:semiHidden/>
    <w:rsid w:val="003178D9"/>
    <w:rPr>
      <w:rFonts w:ascii="Tahoma" w:hAnsi="Tahoma" w:cs="Tahoma"/>
      <w:sz w:val="16"/>
      <w:szCs w:val="16"/>
    </w:rPr>
  </w:style>
  <w:style w:type="paragraph" w:styleId="Header">
    <w:name w:val="header"/>
    <w:basedOn w:val="Normal"/>
    <w:link w:val="HeaderChar"/>
    <w:uiPriority w:val="99"/>
    <w:unhideWhenUsed/>
    <w:rsid w:val="008F072B"/>
    <w:pPr>
      <w:tabs>
        <w:tab w:val="center" w:pos="4153"/>
        <w:tab w:val="right" w:pos="8306"/>
      </w:tabs>
    </w:pPr>
  </w:style>
  <w:style w:type="character" w:customStyle="1" w:styleId="HeaderChar">
    <w:name w:val="Header Char"/>
    <w:basedOn w:val="DefaultParagraphFont"/>
    <w:link w:val="Header"/>
    <w:uiPriority w:val="99"/>
    <w:rsid w:val="008F072B"/>
  </w:style>
  <w:style w:type="paragraph" w:styleId="Footer">
    <w:name w:val="footer"/>
    <w:basedOn w:val="Normal"/>
    <w:link w:val="FooterChar"/>
    <w:uiPriority w:val="99"/>
    <w:unhideWhenUsed/>
    <w:rsid w:val="008F072B"/>
    <w:pPr>
      <w:tabs>
        <w:tab w:val="center" w:pos="4153"/>
        <w:tab w:val="right" w:pos="8306"/>
      </w:tabs>
    </w:pPr>
  </w:style>
  <w:style w:type="character" w:customStyle="1" w:styleId="FooterChar">
    <w:name w:val="Footer Char"/>
    <w:basedOn w:val="DefaultParagraphFont"/>
    <w:link w:val="Footer"/>
    <w:uiPriority w:val="99"/>
    <w:rsid w:val="008F072B"/>
  </w:style>
  <w:style w:type="character" w:styleId="PageNumber">
    <w:name w:val="page number"/>
    <w:basedOn w:val="DefaultParagraphFont"/>
    <w:uiPriority w:val="99"/>
    <w:semiHidden/>
    <w:unhideWhenUsed/>
    <w:rsid w:val="00D7637D"/>
  </w:style>
  <w:style w:type="character" w:styleId="CommentReference">
    <w:name w:val="annotation reference"/>
    <w:basedOn w:val="DefaultParagraphFont"/>
    <w:uiPriority w:val="99"/>
    <w:semiHidden/>
    <w:unhideWhenUsed/>
    <w:rsid w:val="00926DAC"/>
    <w:rPr>
      <w:sz w:val="18"/>
      <w:szCs w:val="18"/>
    </w:rPr>
  </w:style>
  <w:style w:type="paragraph" w:styleId="CommentText">
    <w:name w:val="annotation text"/>
    <w:basedOn w:val="Normal"/>
    <w:link w:val="CommentTextChar"/>
    <w:uiPriority w:val="99"/>
    <w:unhideWhenUsed/>
    <w:qFormat/>
    <w:rsid w:val="00926DAC"/>
    <w:rPr>
      <w:sz w:val="24"/>
    </w:rPr>
  </w:style>
  <w:style w:type="character" w:customStyle="1" w:styleId="CommentTextChar">
    <w:name w:val="Comment Text Char"/>
    <w:basedOn w:val="DefaultParagraphFont"/>
    <w:link w:val="CommentText"/>
    <w:uiPriority w:val="99"/>
    <w:qFormat/>
    <w:rsid w:val="00926DAC"/>
    <w:rPr>
      <w:sz w:val="24"/>
      <w:szCs w:val="24"/>
    </w:rPr>
  </w:style>
  <w:style w:type="paragraph" w:styleId="CommentSubject">
    <w:name w:val="annotation subject"/>
    <w:basedOn w:val="CommentText"/>
    <w:next w:val="CommentText"/>
    <w:link w:val="CommentSubjectChar"/>
    <w:uiPriority w:val="99"/>
    <w:semiHidden/>
    <w:unhideWhenUsed/>
    <w:rsid w:val="00926DAC"/>
    <w:rPr>
      <w:b/>
      <w:bCs/>
      <w:sz w:val="20"/>
      <w:szCs w:val="20"/>
    </w:rPr>
  </w:style>
  <w:style w:type="character" w:customStyle="1" w:styleId="CommentSubjectChar">
    <w:name w:val="Comment Subject Char"/>
    <w:basedOn w:val="CommentTextChar"/>
    <w:link w:val="CommentSubject"/>
    <w:uiPriority w:val="99"/>
    <w:semiHidden/>
    <w:rsid w:val="00926DAC"/>
    <w:rPr>
      <w:b/>
      <w:bCs/>
      <w:sz w:val="20"/>
      <w:szCs w:val="20"/>
    </w:rPr>
  </w:style>
  <w:style w:type="paragraph" w:styleId="FootnoteText">
    <w:name w:val="footnote text"/>
    <w:basedOn w:val="Normal"/>
    <w:link w:val="FootnoteTextChar"/>
    <w:uiPriority w:val="99"/>
    <w:unhideWhenUsed/>
    <w:rsid w:val="00556FED"/>
    <w:rPr>
      <w:sz w:val="24"/>
    </w:rPr>
  </w:style>
  <w:style w:type="character" w:customStyle="1" w:styleId="FootnoteTextChar">
    <w:name w:val="Footnote Text Char"/>
    <w:basedOn w:val="DefaultParagraphFont"/>
    <w:link w:val="FootnoteText"/>
    <w:uiPriority w:val="99"/>
    <w:rsid w:val="00556FED"/>
    <w:rPr>
      <w:sz w:val="24"/>
      <w:szCs w:val="24"/>
    </w:rPr>
  </w:style>
  <w:style w:type="character" w:styleId="FootnoteReference">
    <w:name w:val="footnote reference"/>
    <w:basedOn w:val="DefaultParagraphFont"/>
    <w:uiPriority w:val="99"/>
    <w:unhideWhenUsed/>
    <w:rsid w:val="00556FED"/>
    <w:rPr>
      <w:vertAlign w:val="superscript"/>
    </w:rPr>
  </w:style>
  <w:style w:type="character" w:customStyle="1" w:styleId="apple-converted-space">
    <w:name w:val="apple-converted-space"/>
    <w:basedOn w:val="DefaultParagraphFont"/>
    <w:rsid w:val="005D40FB"/>
  </w:style>
  <w:style w:type="character" w:styleId="IntenseEmphasis">
    <w:name w:val="Intense Emphasis"/>
    <w:basedOn w:val="DefaultParagraphFont"/>
    <w:uiPriority w:val="21"/>
    <w:rsid w:val="00F00AC6"/>
    <w:rPr>
      <w:b/>
      <w:bCs/>
      <w:i/>
      <w:iCs/>
      <w:color w:val="4F81BD" w:themeColor="accent1"/>
    </w:rPr>
  </w:style>
  <w:style w:type="paragraph" w:customStyle="1" w:styleId="ColorfulList-Accent12">
    <w:name w:val="Colorful List - Accent 12"/>
    <w:basedOn w:val="Normal"/>
    <w:uiPriority w:val="34"/>
    <w:rsid w:val="008E3268"/>
    <w:pPr>
      <w:spacing w:after="120"/>
      <w:ind w:left="720"/>
      <w:contextualSpacing/>
    </w:pPr>
    <w:rPr>
      <w:rFonts w:ascii="Calibri" w:eastAsia="MS Mincho" w:hAnsi="Calibri" w:cs="Times New Roman"/>
      <w:sz w:val="20"/>
      <w:lang w:val="en-GB"/>
    </w:rPr>
  </w:style>
  <w:style w:type="paragraph" w:styleId="NoSpacing">
    <w:name w:val="No Spacing"/>
    <w:uiPriority w:val="1"/>
    <w:qFormat/>
    <w:rsid w:val="00F71D96"/>
    <w:pPr>
      <w:tabs>
        <w:tab w:val="right" w:leader="dot" w:pos="2880"/>
      </w:tabs>
    </w:pPr>
    <w:rPr>
      <w:rFonts w:ascii="Gill Sans" w:hAnsi="Gill Sans" w:cs="Gill Sans"/>
      <w:sz w:val="22"/>
    </w:rPr>
  </w:style>
  <w:style w:type="paragraph" w:styleId="EndnoteText">
    <w:name w:val="endnote text"/>
    <w:basedOn w:val="Normal"/>
    <w:link w:val="EndnoteTextChar"/>
    <w:autoRedefine/>
    <w:uiPriority w:val="99"/>
    <w:unhideWhenUsed/>
    <w:qFormat/>
    <w:rsid w:val="00EA64D5"/>
    <w:rPr>
      <w:rFonts w:asciiTheme="minorHAnsi" w:hAnsiTheme="minorHAnsi"/>
      <w:sz w:val="18"/>
    </w:rPr>
  </w:style>
  <w:style w:type="character" w:customStyle="1" w:styleId="EndnoteTextChar">
    <w:name w:val="Endnote Text Char"/>
    <w:basedOn w:val="DefaultParagraphFont"/>
    <w:link w:val="EndnoteText"/>
    <w:uiPriority w:val="99"/>
    <w:qFormat/>
    <w:rsid w:val="00EA64D5"/>
    <w:rPr>
      <w:rFonts w:asciiTheme="minorHAnsi" w:hAnsiTheme="minorHAnsi" w:cs="Gill Sans"/>
      <w:sz w:val="18"/>
      <w:lang w:val="en-US"/>
    </w:rPr>
  </w:style>
  <w:style w:type="character" w:styleId="EndnoteReference">
    <w:name w:val="endnote reference"/>
    <w:basedOn w:val="DefaultParagraphFont"/>
    <w:uiPriority w:val="99"/>
    <w:unhideWhenUsed/>
    <w:qFormat/>
    <w:rsid w:val="006C7855"/>
    <w:rPr>
      <w:vertAlign w:val="superscript"/>
    </w:rPr>
  </w:style>
  <w:style w:type="character" w:styleId="Hyperlink">
    <w:name w:val="Hyperlink"/>
    <w:basedOn w:val="DefaultParagraphFont"/>
    <w:uiPriority w:val="99"/>
    <w:unhideWhenUsed/>
    <w:rsid w:val="00D500C1"/>
    <w:rPr>
      <w:color w:val="0000FF"/>
      <w:u w:val="single"/>
    </w:rPr>
  </w:style>
  <w:style w:type="character" w:styleId="FollowedHyperlink">
    <w:name w:val="FollowedHyperlink"/>
    <w:basedOn w:val="DefaultParagraphFont"/>
    <w:uiPriority w:val="99"/>
    <w:semiHidden/>
    <w:unhideWhenUsed/>
    <w:rsid w:val="002641CA"/>
    <w:rPr>
      <w:color w:val="800080" w:themeColor="followedHyperlink"/>
      <w:u w:val="single"/>
    </w:rPr>
  </w:style>
  <w:style w:type="paragraph" w:styleId="Revision">
    <w:name w:val="Revision"/>
    <w:hidden/>
    <w:uiPriority w:val="99"/>
    <w:semiHidden/>
    <w:rsid w:val="00BF7699"/>
  </w:style>
  <w:style w:type="paragraph" w:styleId="ListBullet">
    <w:name w:val="List Bullet"/>
    <w:basedOn w:val="Normal"/>
    <w:uiPriority w:val="99"/>
    <w:unhideWhenUsed/>
    <w:rsid w:val="00D85A99"/>
    <w:pPr>
      <w:numPr>
        <w:numId w:val="1"/>
      </w:numPr>
      <w:contextualSpacing/>
    </w:pPr>
  </w:style>
  <w:style w:type="paragraph" w:styleId="Caption">
    <w:name w:val="caption"/>
    <w:basedOn w:val="Normal"/>
    <w:next w:val="Normal"/>
    <w:uiPriority w:val="35"/>
    <w:unhideWhenUsed/>
    <w:qFormat/>
    <w:rsid w:val="00392E63"/>
    <w:pPr>
      <w:spacing w:after="200"/>
    </w:pPr>
    <w:rPr>
      <w:b/>
      <w:bCs/>
      <w:color w:val="4F81BD" w:themeColor="accent1"/>
      <w:sz w:val="18"/>
      <w:szCs w:val="18"/>
    </w:rPr>
  </w:style>
  <w:style w:type="character" w:customStyle="1" w:styleId="EndnoteAnchor">
    <w:name w:val="Endnote Anchor"/>
    <w:rsid w:val="0063171A"/>
    <w:rPr>
      <w:vertAlign w:val="superscript"/>
    </w:rPr>
  </w:style>
  <w:style w:type="paragraph" w:customStyle="1" w:styleId="Nospacefeaturetolerant">
    <w:name w:val="No space (feature tolerant)"/>
    <w:basedOn w:val="Normal"/>
    <w:qFormat/>
    <w:rsid w:val="00392E63"/>
    <w:rPr>
      <w:rFonts w:ascii="Adobe Caslon Pro" w:hAnsi="Adobe Caslon Pro"/>
      <w:szCs w:val="22"/>
    </w:rPr>
  </w:style>
  <w:style w:type="paragraph" w:customStyle="1" w:styleId="Normalrglronly">
    <w:name w:val="Normal (rglr only)"/>
    <w:basedOn w:val="Normal"/>
    <w:qFormat/>
    <w:rsid w:val="00392E63"/>
    <w:pPr>
      <w:spacing w:after="120"/>
    </w:pPr>
    <w:rPr>
      <w:szCs w:val="22"/>
    </w:rPr>
  </w:style>
  <w:style w:type="paragraph" w:customStyle="1" w:styleId="APQuotefeaturetol">
    <w:name w:val="AP Quote (feature tol)"/>
    <w:basedOn w:val="Normal"/>
    <w:qFormat/>
    <w:rsid w:val="00392E63"/>
    <w:pPr>
      <w:spacing w:after="120"/>
    </w:pPr>
    <w:rPr>
      <w:i/>
      <w:szCs w:val="22"/>
    </w:rPr>
  </w:style>
  <w:style w:type="paragraph" w:customStyle="1" w:styleId="Pullquote">
    <w:name w:val="Pull quote"/>
    <w:basedOn w:val="Normal"/>
    <w:next w:val="Normal"/>
    <w:qFormat/>
    <w:rsid w:val="00392E63"/>
    <w:rPr>
      <w:color w:val="4BACC6" w:themeColor="accent5"/>
      <w:sz w:val="24"/>
    </w:rPr>
  </w:style>
  <w:style w:type="paragraph" w:customStyle="1" w:styleId="Tabletitleinside">
    <w:name w:val="Table title inside"/>
    <w:basedOn w:val="Heading5"/>
    <w:qFormat/>
    <w:rsid w:val="00392E63"/>
    <w:pPr>
      <w:spacing w:before="60"/>
    </w:pPr>
    <w:rPr>
      <w:rFonts w:ascii="Gill Sans" w:hAnsi="Gill Sans"/>
    </w:rPr>
  </w:style>
  <w:style w:type="paragraph" w:customStyle="1" w:styleId="Tableheader">
    <w:name w:val="Table header"/>
    <w:basedOn w:val="Normal"/>
    <w:qFormat/>
    <w:rsid w:val="00392E63"/>
    <w:rPr>
      <w:rFonts w:ascii="Gill Sans SemiBold" w:hAnsi="Gill Sans SemiBold"/>
      <w:color w:val="365F91" w:themeColor="accent1" w:themeShade="BF"/>
    </w:rPr>
  </w:style>
  <w:style w:type="paragraph" w:customStyle="1" w:styleId="Rowcolumntitles">
    <w:name w:val="Row/column titles"/>
    <w:basedOn w:val="Normal"/>
    <w:qFormat/>
    <w:rsid w:val="00392E63"/>
    <w:rPr>
      <w:color w:val="000000" w:themeColor="text1"/>
    </w:rPr>
  </w:style>
  <w:style w:type="paragraph" w:customStyle="1" w:styleId="Tablebullet">
    <w:name w:val="Table bullet"/>
    <w:basedOn w:val="ListParagraph"/>
    <w:qFormat/>
    <w:rsid w:val="00392E63"/>
    <w:pPr>
      <w:numPr>
        <w:numId w:val="0"/>
      </w:numPr>
    </w:pPr>
    <w:rPr>
      <w:b/>
    </w:rPr>
  </w:style>
  <w:style w:type="paragraph" w:customStyle="1" w:styleId="Ataglancetitle">
    <w:name w:val="At a glance title"/>
    <w:basedOn w:val="Normal"/>
    <w:qFormat/>
    <w:rsid w:val="00392E63"/>
    <w:rPr>
      <w:b/>
      <w:color w:val="4F81BD" w:themeColor="accent1"/>
    </w:rPr>
  </w:style>
  <w:style w:type="paragraph" w:customStyle="1" w:styleId="Ataglancesubtitle">
    <w:name w:val="At a glance subtitle"/>
    <w:basedOn w:val="Normal"/>
    <w:qFormat/>
    <w:rsid w:val="00392E63"/>
    <w:pPr>
      <w:spacing w:before="120"/>
    </w:pPr>
    <w:rPr>
      <w:b/>
      <w:i/>
      <w:color w:val="403152" w:themeColor="accent4" w:themeShade="80"/>
    </w:rPr>
  </w:style>
  <w:style w:type="paragraph" w:styleId="Quote">
    <w:name w:val="Quote"/>
    <w:aliases w:val="Long quote"/>
    <w:basedOn w:val="Normal"/>
    <w:next w:val="Normal"/>
    <w:link w:val="QuoteChar"/>
    <w:uiPriority w:val="29"/>
    <w:qFormat/>
    <w:rsid w:val="00392E63"/>
    <w:pPr>
      <w:ind w:left="720"/>
    </w:pPr>
    <w:rPr>
      <w:rFonts w:ascii="Adobe Caslon Pro" w:hAnsi="Adobe Caslon Pro" w:cstheme="minorBidi"/>
      <w:i/>
      <w:iCs/>
      <w:color w:val="000000" w:themeColor="text1"/>
    </w:rPr>
  </w:style>
  <w:style w:type="character" w:customStyle="1" w:styleId="QuoteChar">
    <w:name w:val="Quote Char"/>
    <w:aliases w:val="Long quote Char"/>
    <w:basedOn w:val="DefaultParagraphFont"/>
    <w:link w:val="Quote"/>
    <w:uiPriority w:val="29"/>
    <w:rsid w:val="00392E63"/>
    <w:rPr>
      <w:rFonts w:ascii="Adobe Caslon Pro" w:hAnsi="Adobe Caslon Pro"/>
      <w:i/>
      <w:iCs/>
      <w:color w:val="000000" w:themeColor="text1"/>
      <w:sz w:val="22"/>
    </w:rPr>
  </w:style>
  <w:style w:type="paragraph" w:styleId="TOCHeading">
    <w:name w:val="TOC Heading"/>
    <w:basedOn w:val="Heading1"/>
    <w:next w:val="Normal"/>
    <w:uiPriority w:val="39"/>
    <w:semiHidden/>
    <w:unhideWhenUsed/>
    <w:qFormat/>
    <w:rsid w:val="00392E63"/>
    <w:pPr>
      <w:outlineLvl w:val="9"/>
    </w:pPr>
    <w:rPr>
      <w:rFonts w:asciiTheme="majorHAnsi" w:hAnsiTheme="majorHAnsi" w:cstheme="majorBidi"/>
      <w:color w:val="5F497A" w:themeColor="accent4" w:themeShade="BF"/>
    </w:rPr>
  </w:style>
  <w:style w:type="paragraph" w:styleId="NormalWeb">
    <w:name w:val="Normal (Web)"/>
    <w:basedOn w:val="Normal"/>
    <w:uiPriority w:val="99"/>
    <w:unhideWhenUsed/>
    <w:rsid w:val="00E11C76"/>
    <w:pPr>
      <w:tabs>
        <w:tab w:val="clear" w:pos="2880"/>
      </w:tabs>
      <w:spacing w:before="100" w:beforeAutospacing="1" w:after="100" w:afterAutospacing="1"/>
    </w:pPr>
    <w:rPr>
      <w:rFonts w:ascii="Times" w:hAnsi="Times" w:cs="Times New Roman"/>
      <w:color w:val="auto"/>
      <w:sz w:val="24"/>
      <w:lang w:val="es-ES_tradnl" w:eastAsia="es-ES_tradnl"/>
    </w:rPr>
  </w:style>
  <w:style w:type="paragraph" w:styleId="TOC1">
    <w:name w:val="toc 1"/>
    <w:basedOn w:val="Normal"/>
    <w:next w:val="Normal"/>
    <w:autoRedefine/>
    <w:uiPriority w:val="39"/>
    <w:unhideWhenUsed/>
    <w:rsid w:val="000278C1"/>
    <w:pPr>
      <w:tabs>
        <w:tab w:val="clear" w:pos="2880"/>
      </w:tabs>
    </w:pPr>
  </w:style>
  <w:style w:type="paragraph" w:styleId="TOC2">
    <w:name w:val="toc 2"/>
    <w:basedOn w:val="Normal"/>
    <w:next w:val="Normal"/>
    <w:autoRedefine/>
    <w:uiPriority w:val="39"/>
    <w:unhideWhenUsed/>
    <w:rsid w:val="000278C1"/>
    <w:pPr>
      <w:tabs>
        <w:tab w:val="clear" w:pos="2880"/>
      </w:tabs>
      <w:ind w:left="220"/>
    </w:pPr>
  </w:style>
  <w:style w:type="paragraph" w:styleId="TOC3">
    <w:name w:val="toc 3"/>
    <w:basedOn w:val="Normal"/>
    <w:next w:val="Normal"/>
    <w:autoRedefine/>
    <w:uiPriority w:val="39"/>
    <w:unhideWhenUsed/>
    <w:rsid w:val="000278C1"/>
    <w:pPr>
      <w:tabs>
        <w:tab w:val="clear" w:pos="2880"/>
      </w:tabs>
      <w:ind w:left="440"/>
    </w:pPr>
  </w:style>
  <w:style w:type="paragraph" w:styleId="TOC4">
    <w:name w:val="toc 4"/>
    <w:basedOn w:val="Normal"/>
    <w:next w:val="Normal"/>
    <w:autoRedefine/>
    <w:uiPriority w:val="39"/>
    <w:unhideWhenUsed/>
    <w:rsid w:val="000278C1"/>
    <w:pPr>
      <w:tabs>
        <w:tab w:val="clear" w:pos="2880"/>
      </w:tabs>
      <w:ind w:left="660"/>
    </w:pPr>
  </w:style>
  <w:style w:type="paragraph" w:styleId="TOC5">
    <w:name w:val="toc 5"/>
    <w:basedOn w:val="Normal"/>
    <w:next w:val="Normal"/>
    <w:autoRedefine/>
    <w:uiPriority w:val="39"/>
    <w:unhideWhenUsed/>
    <w:rsid w:val="000278C1"/>
    <w:pPr>
      <w:tabs>
        <w:tab w:val="clear" w:pos="2880"/>
      </w:tabs>
      <w:ind w:left="880"/>
    </w:pPr>
  </w:style>
  <w:style w:type="paragraph" w:styleId="TOC6">
    <w:name w:val="toc 6"/>
    <w:basedOn w:val="Normal"/>
    <w:next w:val="Normal"/>
    <w:autoRedefine/>
    <w:uiPriority w:val="39"/>
    <w:unhideWhenUsed/>
    <w:rsid w:val="000278C1"/>
    <w:pPr>
      <w:tabs>
        <w:tab w:val="clear" w:pos="2880"/>
      </w:tabs>
      <w:ind w:left="1100"/>
    </w:pPr>
  </w:style>
  <w:style w:type="paragraph" w:styleId="TOC7">
    <w:name w:val="toc 7"/>
    <w:basedOn w:val="Normal"/>
    <w:next w:val="Normal"/>
    <w:autoRedefine/>
    <w:uiPriority w:val="39"/>
    <w:unhideWhenUsed/>
    <w:rsid w:val="000278C1"/>
    <w:pPr>
      <w:tabs>
        <w:tab w:val="clear" w:pos="2880"/>
      </w:tabs>
      <w:ind w:left="1320"/>
    </w:pPr>
  </w:style>
  <w:style w:type="paragraph" w:styleId="TOC8">
    <w:name w:val="toc 8"/>
    <w:basedOn w:val="Normal"/>
    <w:next w:val="Normal"/>
    <w:autoRedefine/>
    <w:uiPriority w:val="39"/>
    <w:unhideWhenUsed/>
    <w:rsid w:val="000278C1"/>
    <w:pPr>
      <w:tabs>
        <w:tab w:val="clear" w:pos="2880"/>
      </w:tabs>
      <w:ind w:left="1540"/>
    </w:pPr>
  </w:style>
  <w:style w:type="paragraph" w:styleId="TOC9">
    <w:name w:val="toc 9"/>
    <w:basedOn w:val="Normal"/>
    <w:next w:val="Normal"/>
    <w:autoRedefine/>
    <w:uiPriority w:val="39"/>
    <w:unhideWhenUsed/>
    <w:rsid w:val="000278C1"/>
    <w:pPr>
      <w:tabs>
        <w:tab w:val="clear" w:pos="2880"/>
      </w:tabs>
      <w:ind w:left="1760"/>
    </w:pPr>
  </w:style>
  <w:style w:type="table" w:customStyle="1" w:styleId="TableGrid2">
    <w:name w:val="Table Grid2"/>
    <w:basedOn w:val="TableNormal"/>
    <w:next w:val="TableGrid"/>
    <w:uiPriority w:val="39"/>
    <w:rsid w:val="00591EF5"/>
    <w:rPr>
      <w:rFonts w:eastAsia="MS P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E1403"/>
    <w:rPr>
      <w:rFonts w:eastAsia="MS P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uiPriority w:val="34"/>
    <w:rsid w:val="00A844FC"/>
    <w:pPr>
      <w:spacing w:after="200" w:line="276" w:lineRule="auto"/>
      <w:ind w:left="720"/>
    </w:pPr>
    <w:rPr>
      <w:rFonts w:ascii="Times New Roman" w:eastAsia="ヒラギノ角ゴ Pro W3" w:hAnsi="Times New Roman" w:cs="Times New Roman"/>
      <w:color w:val="000000"/>
      <w:sz w:val="28"/>
      <w:lang w:val="en-US"/>
    </w:rPr>
  </w:style>
  <w:style w:type="character" w:customStyle="1" w:styleId="fontstyle01">
    <w:name w:val="fontstyle01"/>
    <w:basedOn w:val="DefaultParagraphFont"/>
    <w:rsid w:val="00D720B6"/>
    <w:rPr>
      <w:rFonts w:ascii="Cambria" w:hAnsi="Cambria" w:hint="default"/>
      <w:b w:val="0"/>
      <w:bCs w:val="0"/>
      <w:i w:val="0"/>
      <w:iCs w:val="0"/>
      <w:color w:val="222222"/>
      <w:sz w:val="22"/>
      <w:szCs w:val="22"/>
    </w:rPr>
  </w:style>
  <w:style w:type="paragraph" w:customStyle="1" w:styleId="Normal1">
    <w:name w:val="Normal1"/>
    <w:rsid w:val="003F30AE"/>
    <w:pPr>
      <w:widowControl w:val="0"/>
      <w:pBdr>
        <w:top w:val="nil"/>
        <w:left w:val="nil"/>
        <w:bottom w:val="nil"/>
        <w:right w:val="nil"/>
        <w:between w:val="nil"/>
      </w:pBdr>
    </w:pPr>
    <w:rPr>
      <w:rFonts w:ascii="Cambria" w:eastAsia="Cambria" w:hAnsi="Cambria" w:cs="Cambria"/>
      <w:color w:val="000000"/>
      <w:lang w:val="en-US"/>
    </w:rPr>
  </w:style>
  <w:style w:type="character" w:customStyle="1" w:styleId="UnresolvedMention">
    <w:name w:val="Unresolved Mention"/>
    <w:basedOn w:val="DefaultParagraphFont"/>
    <w:uiPriority w:val="99"/>
    <w:semiHidden/>
    <w:unhideWhenUsed/>
    <w:rsid w:val="005463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color w:val="222222"/>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t a glance text"/>
    <w:qFormat/>
    <w:rsid w:val="00392E63"/>
    <w:pPr>
      <w:tabs>
        <w:tab w:val="right" w:leader="dot" w:pos="2880"/>
      </w:tabs>
    </w:pPr>
    <w:rPr>
      <w:rFonts w:ascii="Gill Sans" w:hAnsi="Gill Sans" w:cs="Gill Sans"/>
      <w:sz w:val="22"/>
      <w:lang w:val="en-US"/>
    </w:rPr>
  </w:style>
  <w:style w:type="paragraph" w:styleId="Heading1">
    <w:name w:val="heading 1"/>
    <w:basedOn w:val="Normal"/>
    <w:next w:val="Normal"/>
    <w:link w:val="Heading1Char"/>
    <w:uiPriority w:val="9"/>
    <w:qFormat/>
    <w:rsid w:val="00392E63"/>
    <w:pPr>
      <w:keepNext/>
      <w:keepLines/>
      <w:spacing w:before="480"/>
      <w:outlineLvl w:val="0"/>
    </w:pPr>
    <w:rPr>
      <w:rFonts w:eastAsiaTheme="majorEastAsia"/>
      <w:b/>
      <w:bCs/>
      <w:color w:val="1F497D" w:themeColor="text2"/>
      <w:sz w:val="32"/>
      <w:szCs w:val="32"/>
    </w:rPr>
  </w:style>
  <w:style w:type="paragraph" w:styleId="Heading2">
    <w:name w:val="heading 2"/>
    <w:basedOn w:val="Normal"/>
    <w:next w:val="Normal"/>
    <w:link w:val="Heading2Char"/>
    <w:uiPriority w:val="9"/>
    <w:unhideWhenUsed/>
    <w:qFormat/>
    <w:rsid w:val="00392E63"/>
    <w:pPr>
      <w:keepNext/>
      <w:keepLines/>
      <w:spacing w:before="200"/>
      <w:outlineLvl w:val="1"/>
    </w:pPr>
    <w:rPr>
      <w:rFonts w:eastAsiaTheme="majorEastAsia"/>
      <w:b/>
      <w:bCs/>
      <w:color w:val="1F497D" w:themeColor="text2"/>
      <w:sz w:val="26"/>
      <w:szCs w:val="26"/>
    </w:rPr>
  </w:style>
  <w:style w:type="paragraph" w:styleId="Heading3">
    <w:name w:val="heading 3"/>
    <w:basedOn w:val="Normal"/>
    <w:next w:val="Normal"/>
    <w:link w:val="Heading3Char"/>
    <w:autoRedefine/>
    <w:uiPriority w:val="9"/>
    <w:unhideWhenUsed/>
    <w:qFormat/>
    <w:rsid w:val="00FE5928"/>
    <w:pPr>
      <w:keepNext/>
      <w:keepLines/>
      <w:spacing w:before="200"/>
      <w:outlineLvl w:val="2"/>
    </w:pPr>
    <w:rPr>
      <w:rFonts w:eastAsiaTheme="majorEastAsia"/>
      <w:b/>
      <w:bCs/>
      <w:color w:val="1F497D" w:themeColor="text2"/>
      <w:lang w:val="en-GB"/>
    </w:rPr>
  </w:style>
  <w:style w:type="paragraph" w:styleId="Heading4">
    <w:name w:val="heading 4"/>
    <w:basedOn w:val="Normal"/>
    <w:next w:val="Normal"/>
    <w:link w:val="Heading4Char"/>
    <w:uiPriority w:val="9"/>
    <w:unhideWhenUsed/>
    <w:qFormat/>
    <w:rsid w:val="00392E63"/>
    <w:pPr>
      <w:keepNext/>
      <w:keepLines/>
      <w:spacing w:before="200"/>
      <w:outlineLvl w:val="3"/>
    </w:pPr>
    <w:rPr>
      <w:rFonts w:eastAsiaTheme="majorEastAsia"/>
      <w:b/>
      <w:bCs/>
      <w:i/>
      <w:iCs/>
      <w:color w:val="1F497D" w:themeColor="text2"/>
    </w:rPr>
  </w:style>
  <w:style w:type="paragraph" w:styleId="Heading5">
    <w:name w:val="heading 5"/>
    <w:aliases w:val="Table title outside"/>
    <w:basedOn w:val="Normal"/>
    <w:next w:val="Normal"/>
    <w:link w:val="Heading5Char"/>
    <w:uiPriority w:val="9"/>
    <w:semiHidden/>
    <w:unhideWhenUsed/>
    <w:qFormat/>
    <w:rsid w:val="00392E63"/>
    <w:pPr>
      <w:keepNext/>
      <w:keepLines/>
      <w:spacing w:before="200"/>
      <w:outlineLvl w:val="4"/>
    </w:pPr>
    <w:rPr>
      <w:rFonts w:asciiTheme="majorHAnsi" w:eastAsiaTheme="majorEastAsia" w:hAnsiTheme="majorHAnsi"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63"/>
    <w:rPr>
      <w:rFonts w:ascii="Gill Sans" w:eastAsiaTheme="majorEastAsia" w:hAnsi="Gill Sans" w:cs="Gill Sans"/>
      <w:b/>
      <w:bCs/>
      <w:color w:val="1F497D" w:themeColor="text2"/>
      <w:sz w:val="32"/>
      <w:szCs w:val="32"/>
    </w:rPr>
  </w:style>
  <w:style w:type="character" w:customStyle="1" w:styleId="Heading2Char">
    <w:name w:val="Heading 2 Char"/>
    <w:basedOn w:val="DefaultParagraphFont"/>
    <w:link w:val="Heading2"/>
    <w:uiPriority w:val="9"/>
    <w:rsid w:val="00392E63"/>
    <w:rPr>
      <w:rFonts w:ascii="Gill Sans" w:eastAsiaTheme="majorEastAsia" w:hAnsi="Gill Sans" w:cs="Gill Sans"/>
      <w:b/>
      <w:bCs/>
      <w:color w:val="1F497D" w:themeColor="text2"/>
      <w:sz w:val="26"/>
      <w:szCs w:val="26"/>
    </w:rPr>
  </w:style>
  <w:style w:type="character" w:customStyle="1" w:styleId="Heading3Char">
    <w:name w:val="Heading 3 Char"/>
    <w:basedOn w:val="DefaultParagraphFont"/>
    <w:link w:val="Heading3"/>
    <w:uiPriority w:val="9"/>
    <w:rsid w:val="00FE5928"/>
    <w:rPr>
      <w:rFonts w:ascii="Gill Sans" w:eastAsiaTheme="majorEastAsia" w:hAnsi="Gill Sans" w:cs="Gill Sans"/>
      <w:b/>
      <w:bCs/>
      <w:color w:val="1F497D" w:themeColor="text2"/>
      <w:sz w:val="22"/>
      <w:lang w:val="en-GB"/>
    </w:rPr>
  </w:style>
  <w:style w:type="character" w:customStyle="1" w:styleId="Heading4Char">
    <w:name w:val="Heading 4 Char"/>
    <w:basedOn w:val="DefaultParagraphFont"/>
    <w:link w:val="Heading4"/>
    <w:uiPriority w:val="9"/>
    <w:rsid w:val="00392E63"/>
    <w:rPr>
      <w:rFonts w:ascii="Gill Sans" w:eastAsiaTheme="majorEastAsia" w:hAnsi="Gill Sans" w:cs="Gill Sans"/>
      <w:b/>
      <w:bCs/>
      <w:i/>
      <w:iCs/>
      <w:color w:val="1F497D" w:themeColor="text2"/>
      <w:sz w:val="22"/>
    </w:rPr>
  </w:style>
  <w:style w:type="character" w:customStyle="1" w:styleId="Heading5Char">
    <w:name w:val="Heading 5 Char"/>
    <w:aliases w:val="Table title outside Char"/>
    <w:basedOn w:val="DefaultParagraphFont"/>
    <w:link w:val="Heading5"/>
    <w:uiPriority w:val="9"/>
    <w:semiHidden/>
    <w:rsid w:val="00392E63"/>
    <w:rPr>
      <w:rFonts w:asciiTheme="majorHAnsi" w:eastAsiaTheme="majorEastAsia" w:hAnsiTheme="majorHAnsi" w:cstheme="majorBidi"/>
      <w:b/>
      <w:color w:val="1F497D" w:themeColor="text2"/>
      <w:sz w:val="22"/>
    </w:rPr>
  </w:style>
  <w:style w:type="table" w:styleId="TableGrid">
    <w:name w:val="Table Grid"/>
    <w:basedOn w:val="TableNormal"/>
    <w:uiPriority w:val="59"/>
    <w:rsid w:val="00814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62096D"/>
    <w:pPr>
      <w:numPr>
        <w:numId w:val="9"/>
      </w:numPr>
      <w:contextualSpacing/>
    </w:pPr>
    <w:rPr>
      <w:rFonts w:eastAsiaTheme="minorHAnsi"/>
      <w:lang w:val="en-GB"/>
    </w:rPr>
  </w:style>
  <w:style w:type="paragraph" w:styleId="Title">
    <w:name w:val="Title"/>
    <w:basedOn w:val="Normal"/>
    <w:next w:val="Normal"/>
    <w:link w:val="TitleChar"/>
    <w:uiPriority w:val="10"/>
    <w:qFormat/>
    <w:rsid w:val="00392E63"/>
    <w:pPr>
      <w:pBdr>
        <w:bottom w:val="single" w:sz="8" w:space="1" w:color="1F497D" w:themeColor="text2"/>
      </w:pBdr>
      <w:spacing w:after="300"/>
      <w:contextualSpacing/>
    </w:pPr>
    <w:rPr>
      <w:rFonts w:eastAsiaTheme="majorEastAsia"/>
      <w:color w:val="000000" w:themeColor="text1"/>
      <w:spacing w:val="5"/>
      <w:kern w:val="28"/>
      <w:sz w:val="52"/>
      <w:szCs w:val="52"/>
    </w:rPr>
  </w:style>
  <w:style w:type="character" w:customStyle="1" w:styleId="TitleChar">
    <w:name w:val="Title Char"/>
    <w:basedOn w:val="DefaultParagraphFont"/>
    <w:link w:val="Title"/>
    <w:uiPriority w:val="10"/>
    <w:rsid w:val="00392E63"/>
    <w:rPr>
      <w:rFonts w:ascii="Gill Sans" w:eastAsiaTheme="majorEastAsia" w:hAnsi="Gill Sans" w:cs="Gill Sans"/>
      <w:color w:val="000000" w:themeColor="text1"/>
      <w:spacing w:val="5"/>
      <w:kern w:val="28"/>
      <w:sz w:val="52"/>
      <w:szCs w:val="52"/>
    </w:rPr>
  </w:style>
  <w:style w:type="paragraph" w:styleId="Subtitle">
    <w:name w:val="Subtitle"/>
    <w:basedOn w:val="Normal"/>
    <w:next w:val="Normal"/>
    <w:link w:val="SubtitleChar"/>
    <w:uiPriority w:val="11"/>
    <w:qFormat/>
    <w:rsid w:val="00392E63"/>
    <w:pPr>
      <w:numPr>
        <w:ilvl w:val="1"/>
      </w:numPr>
      <w:spacing w:after="60"/>
    </w:pPr>
    <w:rPr>
      <w:rFonts w:eastAsiaTheme="majorEastAsia"/>
      <w:iCs/>
      <w:color w:val="1F497D" w:themeColor="text2"/>
      <w:spacing w:val="15"/>
      <w:sz w:val="36"/>
      <w:szCs w:val="36"/>
    </w:rPr>
  </w:style>
  <w:style w:type="character" w:customStyle="1" w:styleId="SubtitleChar">
    <w:name w:val="Subtitle Char"/>
    <w:basedOn w:val="DefaultParagraphFont"/>
    <w:link w:val="Subtitle"/>
    <w:uiPriority w:val="11"/>
    <w:rsid w:val="00392E63"/>
    <w:rPr>
      <w:rFonts w:ascii="Gill Sans" w:eastAsiaTheme="majorEastAsia" w:hAnsi="Gill Sans" w:cs="Gill Sans"/>
      <w:iCs/>
      <w:color w:val="1F497D" w:themeColor="text2"/>
      <w:spacing w:val="15"/>
      <w:sz w:val="36"/>
      <w:szCs w:val="36"/>
    </w:rPr>
  </w:style>
  <w:style w:type="character" w:styleId="SubtleReference">
    <w:name w:val="Subtle Reference"/>
    <w:uiPriority w:val="31"/>
    <w:rsid w:val="00EB323A"/>
    <w:rPr>
      <w:b/>
    </w:rPr>
  </w:style>
  <w:style w:type="paragraph" w:styleId="BalloonText">
    <w:name w:val="Balloon Text"/>
    <w:basedOn w:val="Normal"/>
    <w:link w:val="BalloonTextChar"/>
    <w:uiPriority w:val="99"/>
    <w:semiHidden/>
    <w:unhideWhenUsed/>
    <w:rsid w:val="003178D9"/>
    <w:rPr>
      <w:rFonts w:ascii="Tahoma" w:hAnsi="Tahoma" w:cs="Tahoma"/>
      <w:sz w:val="16"/>
      <w:szCs w:val="16"/>
    </w:rPr>
  </w:style>
  <w:style w:type="character" w:customStyle="1" w:styleId="BalloonTextChar">
    <w:name w:val="Balloon Text Char"/>
    <w:basedOn w:val="DefaultParagraphFont"/>
    <w:link w:val="BalloonText"/>
    <w:uiPriority w:val="99"/>
    <w:semiHidden/>
    <w:rsid w:val="003178D9"/>
    <w:rPr>
      <w:rFonts w:ascii="Tahoma" w:hAnsi="Tahoma" w:cs="Tahoma"/>
      <w:sz w:val="16"/>
      <w:szCs w:val="16"/>
    </w:rPr>
  </w:style>
  <w:style w:type="paragraph" w:styleId="Header">
    <w:name w:val="header"/>
    <w:basedOn w:val="Normal"/>
    <w:link w:val="HeaderChar"/>
    <w:uiPriority w:val="99"/>
    <w:unhideWhenUsed/>
    <w:rsid w:val="008F072B"/>
    <w:pPr>
      <w:tabs>
        <w:tab w:val="center" w:pos="4153"/>
        <w:tab w:val="right" w:pos="8306"/>
      </w:tabs>
    </w:pPr>
  </w:style>
  <w:style w:type="character" w:customStyle="1" w:styleId="HeaderChar">
    <w:name w:val="Header Char"/>
    <w:basedOn w:val="DefaultParagraphFont"/>
    <w:link w:val="Header"/>
    <w:uiPriority w:val="99"/>
    <w:rsid w:val="008F072B"/>
  </w:style>
  <w:style w:type="paragraph" w:styleId="Footer">
    <w:name w:val="footer"/>
    <w:basedOn w:val="Normal"/>
    <w:link w:val="FooterChar"/>
    <w:uiPriority w:val="99"/>
    <w:unhideWhenUsed/>
    <w:rsid w:val="008F072B"/>
    <w:pPr>
      <w:tabs>
        <w:tab w:val="center" w:pos="4153"/>
        <w:tab w:val="right" w:pos="8306"/>
      </w:tabs>
    </w:pPr>
  </w:style>
  <w:style w:type="character" w:customStyle="1" w:styleId="FooterChar">
    <w:name w:val="Footer Char"/>
    <w:basedOn w:val="DefaultParagraphFont"/>
    <w:link w:val="Footer"/>
    <w:uiPriority w:val="99"/>
    <w:rsid w:val="008F072B"/>
  </w:style>
  <w:style w:type="character" w:styleId="PageNumber">
    <w:name w:val="page number"/>
    <w:basedOn w:val="DefaultParagraphFont"/>
    <w:uiPriority w:val="99"/>
    <w:semiHidden/>
    <w:unhideWhenUsed/>
    <w:rsid w:val="00D7637D"/>
  </w:style>
  <w:style w:type="character" w:styleId="CommentReference">
    <w:name w:val="annotation reference"/>
    <w:basedOn w:val="DefaultParagraphFont"/>
    <w:uiPriority w:val="99"/>
    <w:semiHidden/>
    <w:unhideWhenUsed/>
    <w:rsid w:val="00926DAC"/>
    <w:rPr>
      <w:sz w:val="18"/>
      <w:szCs w:val="18"/>
    </w:rPr>
  </w:style>
  <w:style w:type="paragraph" w:styleId="CommentText">
    <w:name w:val="annotation text"/>
    <w:basedOn w:val="Normal"/>
    <w:link w:val="CommentTextChar"/>
    <w:uiPriority w:val="99"/>
    <w:unhideWhenUsed/>
    <w:qFormat/>
    <w:rsid w:val="00926DAC"/>
    <w:rPr>
      <w:sz w:val="24"/>
    </w:rPr>
  </w:style>
  <w:style w:type="character" w:customStyle="1" w:styleId="CommentTextChar">
    <w:name w:val="Comment Text Char"/>
    <w:basedOn w:val="DefaultParagraphFont"/>
    <w:link w:val="CommentText"/>
    <w:uiPriority w:val="99"/>
    <w:qFormat/>
    <w:rsid w:val="00926DAC"/>
    <w:rPr>
      <w:sz w:val="24"/>
      <w:szCs w:val="24"/>
    </w:rPr>
  </w:style>
  <w:style w:type="paragraph" w:styleId="CommentSubject">
    <w:name w:val="annotation subject"/>
    <w:basedOn w:val="CommentText"/>
    <w:next w:val="CommentText"/>
    <w:link w:val="CommentSubjectChar"/>
    <w:uiPriority w:val="99"/>
    <w:semiHidden/>
    <w:unhideWhenUsed/>
    <w:rsid w:val="00926DAC"/>
    <w:rPr>
      <w:b/>
      <w:bCs/>
      <w:sz w:val="20"/>
      <w:szCs w:val="20"/>
    </w:rPr>
  </w:style>
  <w:style w:type="character" w:customStyle="1" w:styleId="CommentSubjectChar">
    <w:name w:val="Comment Subject Char"/>
    <w:basedOn w:val="CommentTextChar"/>
    <w:link w:val="CommentSubject"/>
    <w:uiPriority w:val="99"/>
    <w:semiHidden/>
    <w:rsid w:val="00926DAC"/>
    <w:rPr>
      <w:b/>
      <w:bCs/>
      <w:sz w:val="20"/>
      <w:szCs w:val="20"/>
    </w:rPr>
  </w:style>
  <w:style w:type="paragraph" w:styleId="FootnoteText">
    <w:name w:val="footnote text"/>
    <w:basedOn w:val="Normal"/>
    <w:link w:val="FootnoteTextChar"/>
    <w:uiPriority w:val="99"/>
    <w:unhideWhenUsed/>
    <w:rsid w:val="00556FED"/>
    <w:rPr>
      <w:sz w:val="24"/>
    </w:rPr>
  </w:style>
  <w:style w:type="character" w:customStyle="1" w:styleId="FootnoteTextChar">
    <w:name w:val="Footnote Text Char"/>
    <w:basedOn w:val="DefaultParagraphFont"/>
    <w:link w:val="FootnoteText"/>
    <w:uiPriority w:val="99"/>
    <w:rsid w:val="00556FED"/>
    <w:rPr>
      <w:sz w:val="24"/>
      <w:szCs w:val="24"/>
    </w:rPr>
  </w:style>
  <w:style w:type="character" w:styleId="FootnoteReference">
    <w:name w:val="footnote reference"/>
    <w:basedOn w:val="DefaultParagraphFont"/>
    <w:uiPriority w:val="99"/>
    <w:unhideWhenUsed/>
    <w:rsid w:val="00556FED"/>
    <w:rPr>
      <w:vertAlign w:val="superscript"/>
    </w:rPr>
  </w:style>
  <w:style w:type="character" w:customStyle="1" w:styleId="apple-converted-space">
    <w:name w:val="apple-converted-space"/>
    <w:basedOn w:val="DefaultParagraphFont"/>
    <w:rsid w:val="005D40FB"/>
  </w:style>
  <w:style w:type="character" w:styleId="IntenseEmphasis">
    <w:name w:val="Intense Emphasis"/>
    <w:basedOn w:val="DefaultParagraphFont"/>
    <w:uiPriority w:val="21"/>
    <w:rsid w:val="00F00AC6"/>
    <w:rPr>
      <w:b/>
      <w:bCs/>
      <w:i/>
      <w:iCs/>
      <w:color w:val="4F81BD" w:themeColor="accent1"/>
    </w:rPr>
  </w:style>
  <w:style w:type="paragraph" w:customStyle="1" w:styleId="ColorfulList-Accent12">
    <w:name w:val="Colorful List - Accent 12"/>
    <w:basedOn w:val="Normal"/>
    <w:uiPriority w:val="34"/>
    <w:rsid w:val="008E3268"/>
    <w:pPr>
      <w:spacing w:after="120"/>
      <w:ind w:left="720"/>
      <w:contextualSpacing/>
    </w:pPr>
    <w:rPr>
      <w:rFonts w:ascii="Calibri" w:eastAsia="MS Mincho" w:hAnsi="Calibri" w:cs="Times New Roman"/>
      <w:sz w:val="20"/>
      <w:lang w:val="en-GB"/>
    </w:rPr>
  </w:style>
  <w:style w:type="paragraph" w:styleId="NoSpacing">
    <w:name w:val="No Spacing"/>
    <w:uiPriority w:val="1"/>
    <w:qFormat/>
    <w:rsid w:val="00F71D96"/>
    <w:pPr>
      <w:tabs>
        <w:tab w:val="right" w:leader="dot" w:pos="2880"/>
      </w:tabs>
    </w:pPr>
    <w:rPr>
      <w:rFonts w:ascii="Gill Sans" w:hAnsi="Gill Sans" w:cs="Gill Sans"/>
      <w:sz w:val="22"/>
    </w:rPr>
  </w:style>
  <w:style w:type="paragraph" w:styleId="EndnoteText">
    <w:name w:val="endnote text"/>
    <w:basedOn w:val="Normal"/>
    <w:link w:val="EndnoteTextChar"/>
    <w:autoRedefine/>
    <w:uiPriority w:val="99"/>
    <w:unhideWhenUsed/>
    <w:qFormat/>
    <w:rsid w:val="00EA64D5"/>
    <w:rPr>
      <w:rFonts w:asciiTheme="minorHAnsi" w:hAnsiTheme="minorHAnsi"/>
      <w:sz w:val="18"/>
    </w:rPr>
  </w:style>
  <w:style w:type="character" w:customStyle="1" w:styleId="EndnoteTextChar">
    <w:name w:val="Endnote Text Char"/>
    <w:basedOn w:val="DefaultParagraphFont"/>
    <w:link w:val="EndnoteText"/>
    <w:uiPriority w:val="99"/>
    <w:qFormat/>
    <w:rsid w:val="00EA64D5"/>
    <w:rPr>
      <w:rFonts w:asciiTheme="minorHAnsi" w:hAnsiTheme="minorHAnsi" w:cs="Gill Sans"/>
      <w:sz w:val="18"/>
      <w:lang w:val="en-US"/>
    </w:rPr>
  </w:style>
  <w:style w:type="character" w:styleId="EndnoteReference">
    <w:name w:val="endnote reference"/>
    <w:basedOn w:val="DefaultParagraphFont"/>
    <w:uiPriority w:val="99"/>
    <w:unhideWhenUsed/>
    <w:qFormat/>
    <w:rsid w:val="006C7855"/>
    <w:rPr>
      <w:vertAlign w:val="superscript"/>
    </w:rPr>
  </w:style>
  <w:style w:type="character" w:styleId="Hyperlink">
    <w:name w:val="Hyperlink"/>
    <w:basedOn w:val="DefaultParagraphFont"/>
    <w:uiPriority w:val="99"/>
    <w:unhideWhenUsed/>
    <w:rsid w:val="00D500C1"/>
    <w:rPr>
      <w:color w:val="0000FF"/>
      <w:u w:val="single"/>
    </w:rPr>
  </w:style>
  <w:style w:type="character" w:styleId="FollowedHyperlink">
    <w:name w:val="FollowedHyperlink"/>
    <w:basedOn w:val="DefaultParagraphFont"/>
    <w:uiPriority w:val="99"/>
    <w:semiHidden/>
    <w:unhideWhenUsed/>
    <w:rsid w:val="002641CA"/>
    <w:rPr>
      <w:color w:val="800080" w:themeColor="followedHyperlink"/>
      <w:u w:val="single"/>
    </w:rPr>
  </w:style>
  <w:style w:type="paragraph" w:styleId="Revision">
    <w:name w:val="Revision"/>
    <w:hidden/>
    <w:uiPriority w:val="99"/>
    <w:semiHidden/>
    <w:rsid w:val="00BF7699"/>
  </w:style>
  <w:style w:type="paragraph" w:styleId="ListBullet">
    <w:name w:val="List Bullet"/>
    <w:basedOn w:val="Normal"/>
    <w:uiPriority w:val="99"/>
    <w:unhideWhenUsed/>
    <w:rsid w:val="00D85A99"/>
    <w:pPr>
      <w:numPr>
        <w:numId w:val="1"/>
      </w:numPr>
      <w:contextualSpacing/>
    </w:pPr>
  </w:style>
  <w:style w:type="paragraph" w:styleId="Caption">
    <w:name w:val="caption"/>
    <w:basedOn w:val="Normal"/>
    <w:next w:val="Normal"/>
    <w:uiPriority w:val="35"/>
    <w:unhideWhenUsed/>
    <w:qFormat/>
    <w:rsid w:val="00392E63"/>
    <w:pPr>
      <w:spacing w:after="200"/>
    </w:pPr>
    <w:rPr>
      <w:b/>
      <w:bCs/>
      <w:color w:val="4F81BD" w:themeColor="accent1"/>
      <w:sz w:val="18"/>
      <w:szCs w:val="18"/>
    </w:rPr>
  </w:style>
  <w:style w:type="character" w:customStyle="1" w:styleId="EndnoteAnchor">
    <w:name w:val="Endnote Anchor"/>
    <w:rsid w:val="0063171A"/>
    <w:rPr>
      <w:vertAlign w:val="superscript"/>
    </w:rPr>
  </w:style>
  <w:style w:type="paragraph" w:customStyle="1" w:styleId="Nospacefeaturetolerant">
    <w:name w:val="No space (feature tolerant)"/>
    <w:basedOn w:val="Normal"/>
    <w:qFormat/>
    <w:rsid w:val="00392E63"/>
    <w:rPr>
      <w:rFonts w:ascii="Adobe Caslon Pro" w:hAnsi="Adobe Caslon Pro"/>
      <w:szCs w:val="22"/>
    </w:rPr>
  </w:style>
  <w:style w:type="paragraph" w:customStyle="1" w:styleId="Normalrglronly">
    <w:name w:val="Normal (rglr only)"/>
    <w:basedOn w:val="Normal"/>
    <w:qFormat/>
    <w:rsid w:val="00392E63"/>
    <w:pPr>
      <w:spacing w:after="120"/>
    </w:pPr>
    <w:rPr>
      <w:szCs w:val="22"/>
    </w:rPr>
  </w:style>
  <w:style w:type="paragraph" w:customStyle="1" w:styleId="APQuotefeaturetol">
    <w:name w:val="AP Quote (feature tol)"/>
    <w:basedOn w:val="Normal"/>
    <w:qFormat/>
    <w:rsid w:val="00392E63"/>
    <w:pPr>
      <w:spacing w:after="120"/>
    </w:pPr>
    <w:rPr>
      <w:i/>
      <w:szCs w:val="22"/>
    </w:rPr>
  </w:style>
  <w:style w:type="paragraph" w:customStyle="1" w:styleId="Pullquote">
    <w:name w:val="Pull quote"/>
    <w:basedOn w:val="Normal"/>
    <w:next w:val="Normal"/>
    <w:qFormat/>
    <w:rsid w:val="00392E63"/>
    <w:rPr>
      <w:color w:val="4BACC6" w:themeColor="accent5"/>
      <w:sz w:val="24"/>
    </w:rPr>
  </w:style>
  <w:style w:type="paragraph" w:customStyle="1" w:styleId="Tabletitleinside">
    <w:name w:val="Table title inside"/>
    <w:basedOn w:val="Heading5"/>
    <w:qFormat/>
    <w:rsid w:val="00392E63"/>
    <w:pPr>
      <w:spacing w:before="60"/>
    </w:pPr>
    <w:rPr>
      <w:rFonts w:ascii="Gill Sans" w:hAnsi="Gill Sans"/>
    </w:rPr>
  </w:style>
  <w:style w:type="paragraph" w:customStyle="1" w:styleId="Tableheader">
    <w:name w:val="Table header"/>
    <w:basedOn w:val="Normal"/>
    <w:qFormat/>
    <w:rsid w:val="00392E63"/>
    <w:rPr>
      <w:rFonts w:ascii="Gill Sans SemiBold" w:hAnsi="Gill Sans SemiBold"/>
      <w:color w:val="365F91" w:themeColor="accent1" w:themeShade="BF"/>
    </w:rPr>
  </w:style>
  <w:style w:type="paragraph" w:customStyle="1" w:styleId="Rowcolumntitles">
    <w:name w:val="Row/column titles"/>
    <w:basedOn w:val="Normal"/>
    <w:qFormat/>
    <w:rsid w:val="00392E63"/>
    <w:rPr>
      <w:color w:val="000000" w:themeColor="text1"/>
    </w:rPr>
  </w:style>
  <w:style w:type="paragraph" w:customStyle="1" w:styleId="Tablebullet">
    <w:name w:val="Table bullet"/>
    <w:basedOn w:val="ListParagraph"/>
    <w:qFormat/>
    <w:rsid w:val="00392E63"/>
    <w:pPr>
      <w:numPr>
        <w:numId w:val="0"/>
      </w:numPr>
    </w:pPr>
    <w:rPr>
      <w:b/>
    </w:rPr>
  </w:style>
  <w:style w:type="paragraph" w:customStyle="1" w:styleId="Ataglancetitle">
    <w:name w:val="At a glance title"/>
    <w:basedOn w:val="Normal"/>
    <w:qFormat/>
    <w:rsid w:val="00392E63"/>
    <w:rPr>
      <w:b/>
      <w:color w:val="4F81BD" w:themeColor="accent1"/>
    </w:rPr>
  </w:style>
  <w:style w:type="paragraph" w:customStyle="1" w:styleId="Ataglancesubtitle">
    <w:name w:val="At a glance subtitle"/>
    <w:basedOn w:val="Normal"/>
    <w:qFormat/>
    <w:rsid w:val="00392E63"/>
    <w:pPr>
      <w:spacing w:before="120"/>
    </w:pPr>
    <w:rPr>
      <w:b/>
      <w:i/>
      <w:color w:val="403152" w:themeColor="accent4" w:themeShade="80"/>
    </w:rPr>
  </w:style>
  <w:style w:type="paragraph" w:styleId="Quote">
    <w:name w:val="Quote"/>
    <w:aliases w:val="Long quote"/>
    <w:basedOn w:val="Normal"/>
    <w:next w:val="Normal"/>
    <w:link w:val="QuoteChar"/>
    <w:uiPriority w:val="29"/>
    <w:qFormat/>
    <w:rsid w:val="00392E63"/>
    <w:pPr>
      <w:ind w:left="720"/>
    </w:pPr>
    <w:rPr>
      <w:rFonts w:ascii="Adobe Caslon Pro" w:hAnsi="Adobe Caslon Pro" w:cstheme="minorBidi"/>
      <w:i/>
      <w:iCs/>
      <w:color w:val="000000" w:themeColor="text1"/>
    </w:rPr>
  </w:style>
  <w:style w:type="character" w:customStyle="1" w:styleId="QuoteChar">
    <w:name w:val="Quote Char"/>
    <w:aliases w:val="Long quote Char"/>
    <w:basedOn w:val="DefaultParagraphFont"/>
    <w:link w:val="Quote"/>
    <w:uiPriority w:val="29"/>
    <w:rsid w:val="00392E63"/>
    <w:rPr>
      <w:rFonts w:ascii="Adobe Caslon Pro" w:hAnsi="Adobe Caslon Pro"/>
      <w:i/>
      <w:iCs/>
      <w:color w:val="000000" w:themeColor="text1"/>
      <w:sz w:val="22"/>
    </w:rPr>
  </w:style>
  <w:style w:type="paragraph" w:styleId="TOCHeading">
    <w:name w:val="TOC Heading"/>
    <w:basedOn w:val="Heading1"/>
    <w:next w:val="Normal"/>
    <w:uiPriority w:val="39"/>
    <w:semiHidden/>
    <w:unhideWhenUsed/>
    <w:qFormat/>
    <w:rsid w:val="00392E63"/>
    <w:pPr>
      <w:outlineLvl w:val="9"/>
    </w:pPr>
    <w:rPr>
      <w:rFonts w:asciiTheme="majorHAnsi" w:hAnsiTheme="majorHAnsi" w:cstheme="majorBidi"/>
      <w:color w:val="5F497A" w:themeColor="accent4" w:themeShade="BF"/>
    </w:rPr>
  </w:style>
  <w:style w:type="paragraph" w:styleId="NormalWeb">
    <w:name w:val="Normal (Web)"/>
    <w:basedOn w:val="Normal"/>
    <w:uiPriority w:val="99"/>
    <w:unhideWhenUsed/>
    <w:rsid w:val="00E11C76"/>
    <w:pPr>
      <w:tabs>
        <w:tab w:val="clear" w:pos="2880"/>
      </w:tabs>
      <w:spacing w:before="100" w:beforeAutospacing="1" w:after="100" w:afterAutospacing="1"/>
    </w:pPr>
    <w:rPr>
      <w:rFonts w:ascii="Times" w:hAnsi="Times" w:cs="Times New Roman"/>
      <w:color w:val="auto"/>
      <w:sz w:val="24"/>
      <w:lang w:val="es-ES_tradnl" w:eastAsia="es-ES_tradnl"/>
    </w:rPr>
  </w:style>
  <w:style w:type="paragraph" w:styleId="TOC1">
    <w:name w:val="toc 1"/>
    <w:basedOn w:val="Normal"/>
    <w:next w:val="Normal"/>
    <w:autoRedefine/>
    <w:uiPriority w:val="39"/>
    <w:unhideWhenUsed/>
    <w:rsid w:val="000278C1"/>
    <w:pPr>
      <w:tabs>
        <w:tab w:val="clear" w:pos="2880"/>
      </w:tabs>
    </w:pPr>
  </w:style>
  <w:style w:type="paragraph" w:styleId="TOC2">
    <w:name w:val="toc 2"/>
    <w:basedOn w:val="Normal"/>
    <w:next w:val="Normal"/>
    <w:autoRedefine/>
    <w:uiPriority w:val="39"/>
    <w:unhideWhenUsed/>
    <w:rsid w:val="000278C1"/>
    <w:pPr>
      <w:tabs>
        <w:tab w:val="clear" w:pos="2880"/>
      </w:tabs>
      <w:ind w:left="220"/>
    </w:pPr>
  </w:style>
  <w:style w:type="paragraph" w:styleId="TOC3">
    <w:name w:val="toc 3"/>
    <w:basedOn w:val="Normal"/>
    <w:next w:val="Normal"/>
    <w:autoRedefine/>
    <w:uiPriority w:val="39"/>
    <w:unhideWhenUsed/>
    <w:rsid w:val="000278C1"/>
    <w:pPr>
      <w:tabs>
        <w:tab w:val="clear" w:pos="2880"/>
      </w:tabs>
      <w:ind w:left="440"/>
    </w:pPr>
  </w:style>
  <w:style w:type="paragraph" w:styleId="TOC4">
    <w:name w:val="toc 4"/>
    <w:basedOn w:val="Normal"/>
    <w:next w:val="Normal"/>
    <w:autoRedefine/>
    <w:uiPriority w:val="39"/>
    <w:unhideWhenUsed/>
    <w:rsid w:val="000278C1"/>
    <w:pPr>
      <w:tabs>
        <w:tab w:val="clear" w:pos="2880"/>
      </w:tabs>
      <w:ind w:left="660"/>
    </w:pPr>
  </w:style>
  <w:style w:type="paragraph" w:styleId="TOC5">
    <w:name w:val="toc 5"/>
    <w:basedOn w:val="Normal"/>
    <w:next w:val="Normal"/>
    <w:autoRedefine/>
    <w:uiPriority w:val="39"/>
    <w:unhideWhenUsed/>
    <w:rsid w:val="000278C1"/>
    <w:pPr>
      <w:tabs>
        <w:tab w:val="clear" w:pos="2880"/>
      </w:tabs>
      <w:ind w:left="880"/>
    </w:pPr>
  </w:style>
  <w:style w:type="paragraph" w:styleId="TOC6">
    <w:name w:val="toc 6"/>
    <w:basedOn w:val="Normal"/>
    <w:next w:val="Normal"/>
    <w:autoRedefine/>
    <w:uiPriority w:val="39"/>
    <w:unhideWhenUsed/>
    <w:rsid w:val="000278C1"/>
    <w:pPr>
      <w:tabs>
        <w:tab w:val="clear" w:pos="2880"/>
      </w:tabs>
      <w:ind w:left="1100"/>
    </w:pPr>
  </w:style>
  <w:style w:type="paragraph" w:styleId="TOC7">
    <w:name w:val="toc 7"/>
    <w:basedOn w:val="Normal"/>
    <w:next w:val="Normal"/>
    <w:autoRedefine/>
    <w:uiPriority w:val="39"/>
    <w:unhideWhenUsed/>
    <w:rsid w:val="000278C1"/>
    <w:pPr>
      <w:tabs>
        <w:tab w:val="clear" w:pos="2880"/>
      </w:tabs>
      <w:ind w:left="1320"/>
    </w:pPr>
  </w:style>
  <w:style w:type="paragraph" w:styleId="TOC8">
    <w:name w:val="toc 8"/>
    <w:basedOn w:val="Normal"/>
    <w:next w:val="Normal"/>
    <w:autoRedefine/>
    <w:uiPriority w:val="39"/>
    <w:unhideWhenUsed/>
    <w:rsid w:val="000278C1"/>
    <w:pPr>
      <w:tabs>
        <w:tab w:val="clear" w:pos="2880"/>
      </w:tabs>
      <w:ind w:left="1540"/>
    </w:pPr>
  </w:style>
  <w:style w:type="paragraph" w:styleId="TOC9">
    <w:name w:val="toc 9"/>
    <w:basedOn w:val="Normal"/>
    <w:next w:val="Normal"/>
    <w:autoRedefine/>
    <w:uiPriority w:val="39"/>
    <w:unhideWhenUsed/>
    <w:rsid w:val="000278C1"/>
    <w:pPr>
      <w:tabs>
        <w:tab w:val="clear" w:pos="2880"/>
      </w:tabs>
      <w:ind w:left="1760"/>
    </w:pPr>
  </w:style>
  <w:style w:type="table" w:customStyle="1" w:styleId="TableGrid2">
    <w:name w:val="Table Grid2"/>
    <w:basedOn w:val="TableNormal"/>
    <w:next w:val="TableGrid"/>
    <w:uiPriority w:val="39"/>
    <w:rsid w:val="00591EF5"/>
    <w:rPr>
      <w:rFonts w:eastAsia="MS P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E1403"/>
    <w:rPr>
      <w:rFonts w:eastAsia="MS P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uiPriority w:val="34"/>
    <w:rsid w:val="00A844FC"/>
    <w:pPr>
      <w:spacing w:after="200" w:line="276" w:lineRule="auto"/>
      <w:ind w:left="720"/>
    </w:pPr>
    <w:rPr>
      <w:rFonts w:ascii="Times New Roman" w:eastAsia="ヒラギノ角ゴ Pro W3" w:hAnsi="Times New Roman" w:cs="Times New Roman"/>
      <w:color w:val="000000"/>
      <w:sz w:val="28"/>
      <w:lang w:val="en-US"/>
    </w:rPr>
  </w:style>
  <w:style w:type="character" w:customStyle="1" w:styleId="fontstyle01">
    <w:name w:val="fontstyle01"/>
    <w:basedOn w:val="DefaultParagraphFont"/>
    <w:rsid w:val="00D720B6"/>
    <w:rPr>
      <w:rFonts w:ascii="Cambria" w:hAnsi="Cambria" w:hint="default"/>
      <w:b w:val="0"/>
      <w:bCs w:val="0"/>
      <w:i w:val="0"/>
      <w:iCs w:val="0"/>
      <w:color w:val="222222"/>
      <w:sz w:val="22"/>
      <w:szCs w:val="22"/>
    </w:rPr>
  </w:style>
  <w:style w:type="paragraph" w:customStyle="1" w:styleId="Normal1">
    <w:name w:val="Normal1"/>
    <w:rsid w:val="003F30AE"/>
    <w:pPr>
      <w:widowControl w:val="0"/>
      <w:pBdr>
        <w:top w:val="nil"/>
        <w:left w:val="nil"/>
        <w:bottom w:val="nil"/>
        <w:right w:val="nil"/>
        <w:between w:val="nil"/>
      </w:pBdr>
    </w:pPr>
    <w:rPr>
      <w:rFonts w:ascii="Cambria" w:eastAsia="Cambria" w:hAnsi="Cambria" w:cs="Cambria"/>
      <w:color w:val="000000"/>
      <w:lang w:val="en-US"/>
    </w:rPr>
  </w:style>
  <w:style w:type="character" w:customStyle="1" w:styleId="UnresolvedMention">
    <w:name w:val="Unresolved Mention"/>
    <w:basedOn w:val="DefaultParagraphFont"/>
    <w:uiPriority w:val="99"/>
    <w:semiHidden/>
    <w:unhideWhenUsed/>
    <w:rsid w:val="0054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068">
      <w:bodyDiv w:val="1"/>
      <w:marLeft w:val="0"/>
      <w:marRight w:val="0"/>
      <w:marTop w:val="0"/>
      <w:marBottom w:val="0"/>
      <w:divBdr>
        <w:top w:val="none" w:sz="0" w:space="0" w:color="auto"/>
        <w:left w:val="none" w:sz="0" w:space="0" w:color="auto"/>
        <w:bottom w:val="none" w:sz="0" w:space="0" w:color="auto"/>
        <w:right w:val="none" w:sz="0" w:space="0" w:color="auto"/>
      </w:divBdr>
    </w:div>
    <w:div w:id="50227601">
      <w:bodyDiv w:val="1"/>
      <w:marLeft w:val="0"/>
      <w:marRight w:val="0"/>
      <w:marTop w:val="0"/>
      <w:marBottom w:val="0"/>
      <w:divBdr>
        <w:top w:val="none" w:sz="0" w:space="0" w:color="auto"/>
        <w:left w:val="none" w:sz="0" w:space="0" w:color="auto"/>
        <w:bottom w:val="none" w:sz="0" w:space="0" w:color="auto"/>
        <w:right w:val="none" w:sz="0" w:space="0" w:color="auto"/>
      </w:divBdr>
    </w:div>
    <w:div w:id="141195666">
      <w:bodyDiv w:val="1"/>
      <w:marLeft w:val="0"/>
      <w:marRight w:val="0"/>
      <w:marTop w:val="0"/>
      <w:marBottom w:val="0"/>
      <w:divBdr>
        <w:top w:val="none" w:sz="0" w:space="0" w:color="auto"/>
        <w:left w:val="none" w:sz="0" w:space="0" w:color="auto"/>
        <w:bottom w:val="none" w:sz="0" w:space="0" w:color="auto"/>
        <w:right w:val="none" w:sz="0" w:space="0" w:color="auto"/>
      </w:divBdr>
    </w:div>
    <w:div w:id="279118205">
      <w:bodyDiv w:val="1"/>
      <w:marLeft w:val="0"/>
      <w:marRight w:val="0"/>
      <w:marTop w:val="0"/>
      <w:marBottom w:val="0"/>
      <w:divBdr>
        <w:top w:val="none" w:sz="0" w:space="0" w:color="auto"/>
        <w:left w:val="none" w:sz="0" w:space="0" w:color="auto"/>
        <w:bottom w:val="none" w:sz="0" w:space="0" w:color="auto"/>
        <w:right w:val="none" w:sz="0" w:space="0" w:color="auto"/>
      </w:divBdr>
    </w:div>
    <w:div w:id="294725349">
      <w:bodyDiv w:val="1"/>
      <w:marLeft w:val="0"/>
      <w:marRight w:val="0"/>
      <w:marTop w:val="0"/>
      <w:marBottom w:val="0"/>
      <w:divBdr>
        <w:top w:val="none" w:sz="0" w:space="0" w:color="auto"/>
        <w:left w:val="none" w:sz="0" w:space="0" w:color="auto"/>
        <w:bottom w:val="none" w:sz="0" w:space="0" w:color="auto"/>
        <w:right w:val="none" w:sz="0" w:space="0" w:color="auto"/>
      </w:divBdr>
    </w:div>
    <w:div w:id="320275784">
      <w:bodyDiv w:val="1"/>
      <w:marLeft w:val="0"/>
      <w:marRight w:val="0"/>
      <w:marTop w:val="0"/>
      <w:marBottom w:val="0"/>
      <w:divBdr>
        <w:top w:val="none" w:sz="0" w:space="0" w:color="auto"/>
        <w:left w:val="none" w:sz="0" w:space="0" w:color="auto"/>
        <w:bottom w:val="none" w:sz="0" w:space="0" w:color="auto"/>
        <w:right w:val="none" w:sz="0" w:space="0" w:color="auto"/>
      </w:divBdr>
    </w:div>
    <w:div w:id="403769581">
      <w:bodyDiv w:val="1"/>
      <w:marLeft w:val="0"/>
      <w:marRight w:val="0"/>
      <w:marTop w:val="0"/>
      <w:marBottom w:val="0"/>
      <w:divBdr>
        <w:top w:val="none" w:sz="0" w:space="0" w:color="auto"/>
        <w:left w:val="none" w:sz="0" w:space="0" w:color="auto"/>
        <w:bottom w:val="none" w:sz="0" w:space="0" w:color="auto"/>
        <w:right w:val="none" w:sz="0" w:space="0" w:color="auto"/>
      </w:divBdr>
    </w:div>
    <w:div w:id="459305168">
      <w:bodyDiv w:val="1"/>
      <w:marLeft w:val="0"/>
      <w:marRight w:val="0"/>
      <w:marTop w:val="0"/>
      <w:marBottom w:val="0"/>
      <w:divBdr>
        <w:top w:val="none" w:sz="0" w:space="0" w:color="auto"/>
        <w:left w:val="none" w:sz="0" w:space="0" w:color="auto"/>
        <w:bottom w:val="none" w:sz="0" w:space="0" w:color="auto"/>
        <w:right w:val="none" w:sz="0" w:space="0" w:color="auto"/>
      </w:divBdr>
    </w:div>
    <w:div w:id="518735651">
      <w:bodyDiv w:val="1"/>
      <w:marLeft w:val="0"/>
      <w:marRight w:val="0"/>
      <w:marTop w:val="0"/>
      <w:marBottom w:val="0"/>
      <w:divBdr>
        <w:top w:val="none" w:sz="0" w:space="0" w:color="auto"/>
        <w:left w:val="none" w:sz="0" w:space="0" w:color="auto"/>
        <w:bottom w:val="none" w:sz="0" w:space="0" w:color="auto"/>
        <w:right w:val="none" w:sz="0" w:space="0" w:color="auto"/>
      </w:divBdr>
    </w:div>
    <w:div w:id="545484462">
      <w:bodyDiv w:val="1"/>
      <w:marLeft w:val="0"/>
      <w:marRight w:val="0"/>
      <w:marTop w:val="0"/>
      <w:marBottom w:val="0"/>
      <w:divBdr>
        <w:top w:val="none" w:sz="0" w:space="0" w:color="auto"/>
        <w:left w:val="none" w:sz="0" w:space="0" w:color="auto"/>
        <w:bottom w:val="none" w:sz="0" w:space="0" w:color="auto"/>
        <w:right w:val="none" w:sz="0" w:space="0" w:color="auto"/>
      </w:divBdr>
    </w:div>
    <w:div w:id="600770497">
      <w:bodyDiv w:val="1"/>
      <w:marLeft w:val="0"/>
      <w:marRight w:val="0"/>
      <w:marTop w:val="0"/>
      <w:marBottom w:val="0"/>
      <w:divBdr>
        <w:top w:val="none" w:sz="0" w:space="0" w:color="auto"/>
        <w:left w:val="none" w:sz="0" w:space="0" w:color="auto"/>
        <w:bottom w:val="none" w:sz="0" w:space="0" w:color="auto"/>
        <w:right w:val="none" w:sz="0" w:space="0" w:color="auto"/>
      </w:divBdr>
    </w:div>
    <w:div w:id="637614032">
      <w:bodyDiv w:val="1"/>
      <w:marLeft w:val="0"/>
      <w:marRight w:val="0"/>
      <w:marTop w:val="0"/>
      <w:marBottom w:val="0"/>
      <w:divBdr>
        <w:top w:val="none" w:sz="0" w:space="0" w:color="auto"/>
        <w:left w:val="none" w:sz="0" w:space="0" w:color="auto"/>
        <w:bottom w:val="none" w:sz="0" w:space="0" w:color="auto"/>
        <w:right w:val="none" w:sz="0" w:space="0" w:color="auto"/>
      </w:divBdr>
    </w:div>
    <w:div w:id="678197341">
      <w:bodyDiv w:val="1"/>
      <w:marLeft w:val="0"/>
      <w:marRight w:val="0"/>
      <w:marTop w:val="0"/>
      <w:marBottom w:val="0"/>
      <w:divBdr>
        <w:top w:val="none" w:sz="0" w:space="0" w:color="auto"/>
        <w:left w:val="none" w:sz="0" w:space="0" w:color="auto"/>
        <w:bottom w:val="none" w:sz="0" w:space="0" w:color="auto"/>
        <w:right w:val="none" w:sz="0" w:space="0" w:color="auto"/>
      </w:divBdr>
    </w:div>
    <w:div w:id="704015703">
      <w:bodyDiv w:val="1"/>
      <w:marLeft w:val="0"/>
      <w:marRight w:val="0"/>
      <w:marTop w:val="0"/>
      <w:marBottom w:val="0"/>
      <w:divBdr>
        <w:top w:val="none" w:sz="0" w:space="0" w:color="auto"/>
        <w:left w:val="none" w:sz="0" w:space="0" w:color="auto"/>
        <w:bottom w:val="none" w:sz="0" w:space="0" w:color="auto"/>
        <w:right w:val="none" w:sz="0" w:space="0" w:color="auto"/>
      </w:divBdr>
    </w:div>
    <w:div w:id="707411469">
      <w:bodyDiv w:val="1"/>
      <w:marLeft w:val="0"/>
      <w:marRight w:val="0"/>
      <w:marTop w:val="0"/>
      <w:marBottom w:val="0"/>
      <w:divBdr>
        <w:top w:val="none" w:sz="0" w:space="0" w:color="auto"/>
        <w:left w:val="none" w:sz="0" w:space="0" w:color="auto"/>
        <w:bottom w:val="none" w:sz="0" w:space="0" w:color="auto"/>
        <w:right w:val="none" w:sz="0" w:space="0" w:color="auto"/>
      </w:divBdr>
    </w:div>
    <w:div w:id="764617503">
      <w:bodyDiv w:val="1"/>
      <w:marLeft w:val="0"/>
      <w:marRight w:val="0"/>
      <w:marTop w:val="0"/>
      <w:marBottom w:val="0"/>
      <w:divBdr>
        <w:top w:val="none" w:sz="0" w:space="0" w:color="auto"/>
        <w:left w:val="none" w:sz="0" w:space="0" w:color="auto"/>
        <w:bottom w:val="none" w:sz="0" w:space="0" w:color="auto"/>
        <w:right w:val="none" w:sz="0" w:space="0" w:color="auto"/>
      </w:divBdr>
    </w:div>
    <w:div w:id="766003245">
      <w:bodyDiv w:val="1"/>
      <w:marLeft w:val="0"/>
      <w:marRight w:val="0"/>
      <w:marTop w:val="0"/>
      <w:marBottom w:val="0"/>
      <w:divBdr>
        <w:top w:val="none" w:sz="0" w:space="0" w:color="auto"/>
        <w:left w:val="none" w:sz="0" w:space="0" w:color="auto"/>
        <w:bottom w:val="none" w:sz="0" w:space="0" w:color="auto"/>
        <w:right w:val="none" w:sz="0" w:space="0" w:color="auto"/>
      </w:divBdr>
    </w:div>
    <w:div w:id="779446728">
      <w:bodyDiv w:val="1"/>
      <w:marLeft w:val="0"/>
      <w:marRight w:val="0"/>
      <w:marTop w:val="0"/>
      <w:marBottom w:val="0"/>
      <w:divBdr>
        <w:top w:val="none" w:sz="0" w:space="0" w:color="auto"/>
        <w:left w:val="none" w:sz="0" w:space="0" w:color="auto"/>
        <w:bottom w:val="none" w:sz="0" w:space="0" w:color="auto"/>
        <w:right w:val="none" w:sz="0" w:space="0" w:color="auto"/>
      </w:divBdr>
    </w:div>
    <w:div w:id="841044554">
      <w:bodyDiv w:val="1"/>
      <w:marLeft w:val="0"/>
      <w:marRight w:val="0"/>
      <w:marTop w:val="0"/>
      <w:marBottom w:val="0"/>
      <w:divBdr>
        <w:top w:val="none" w:sz="0" w:space="0" w:color="auto"/>
        <w:left w:val="none" w:sz="0" w:space="0" w:color="auto"/>
        <w:bottom w:val="none" w:sz="0" w:space="0" w:color="auto"/>
        <w:right w:val="none" w:sz="0" w:space="0" w:color="auto"/>
      </w:divBdr>
    </w:div>
    <w:div w:id="866479569">
      <w:bodyDiv w:val="1"/>
      <w:marLeft w:val="0"/>
      <w:marRight w:val="0"/>
      <w:marTop w:val="0"/>
      <w:marBottom w:val="0"/>
      <w:divBdr>
        <w:top w:val="none" w:sz="0" w:space="0" w:color="auto"/>
        <w:left w:val="none" w:sz="0" w:space="0" w:color="auto"/>
        <w:bottom w:val="none" w:sz="0" w:space="0" w:color="auto"/>
        <w:right w:val="none" w:sz="0" w:space="0" w:color="auto"/>
      </w:divBdr>
    </w:div>
    <w:div w:id="873425523">
      <w:bodyDiv w:val="1"/>
      <w:marLeft w:val="0"/>
      <w:marRight w:val="0"/>
      <w:marTop w:val="0"/>
      <w:marBottom w:val="0"/>
      <w:divBdr>
        <w:top w:val="none" w:sz="0" w:space="0" w:color="auto"/>
        <w:left w:val="none" w:sz="0" w:space="0" w:color="auto"/>
        <w:bottom w:val="none" w:sz="0" w:space="0" w:color="auto"/>
        <w:right w:val="none" w:sz="0" w:space="0" w:color="auto"/>
      </w:divBdr>
    </w:div>
    <w:div w:id="1189486264">
      <w:bodyDiv w:val="1"/>
      <w:marLeft w:val="0"/>
      <w:marRight w:val="0"/>
      <w:marTop w:val="0"/>
      <w:marBottom w:val="0"/>
      <w:divBdr>
        <w:top w:val="none" w:sz="0" w:space="0" w:color="auto"/>
        <w:left w:val="none" w:sz="0" w:space="0" w:color="auto"/>
        <w:bottom w:val="none" w:sz="0" w:space="0" w:color="auto"/>
        <w:right w:val="none" w:sz="0" w:space="0" w:color="auto"/>
      </w:divBdr>
    </w:div>
    <w:div w:id="1252397986">
      <w:bodyDiv w:val="1"/>
      <w:marLeft w:val="0"/>
      <w:marRight w:val="0"/>
      <w:marTop w:val="0"/>
      <w:marBottom w:val="0"/>
      <w:divBdr>
        <w:top w:val="none" w:sz="0" w:space="0" w:color="auto"/>
        <w:left w:val="none" w:sz="0" w:space="0" w:color="auto"/>
        <w:bottom w:val="none" w:sz="0" w:space="0" w:color="auto"/>
        <w:right w:val="none" w:sz="0" w:space="0" w:color="auto"/>
      </w:divBdr>
    </w:div>
    <w:div w:id="1275599971">
      <w:bodyDiv w:val="1"/>
      <w:marLeft w:val="0"/>
      <w:marRight w:val="0"/>
      <w:marTop w:val="0"/>
      <w:marBottom w:val="0"/>
      <w:divBdr>
        <w:top w:val="none" w:sz="0" w:space="0" w:color="auto"/>
        <w:left w:val="none" w:sz="0" w:space="0" w:color="auto"/>
        <w:bottom w:val="none" w:sz="0" w:space="0" w:color="auto"/>
        <w:right w:val="none" w:sz="0" w:space="0" w:color="auto"/>
      </w:divBdr>
    </w:div>
    <w:div w:id="1313171296">
      <w:bodyDiv w:val="1"/>
      <w:marLeft w:val="0"/>
      <w:marRight w:val="0"/>
      <w:marTop w:val="0"/>
      <w:marBottom w:val="0"/>
      <w:divBdr>
        <w:top w:val="none" w:sz="0" w:space="0" w:color="auto"/>
        <w:left w:val="none" w:sz="0" w:space="0" w:color="auto"/>
        <w:bottom w:val="none" w:sz="0" w:space="0" w:color="auto"/>
        <w:right w:val="none" w:sz="0" w:space="0" w:color="auto"/>
      </w:divBdr>
    </w:div>
    <w:div w:id="1400900850">
      <w:bodyDiv w:val="1"/>
      <w:marLeft w:val="0"/>
      <w:marRight w:val="0"/>
      <w:marTop w:val="0"/>
      <w:marBottom w:val="0"/>
      <w:divBdr>
        <w:top w:val="none" w:sz="0" w:space="0" w:color="auto"/>
        <w:left w:val="none" w:sz="0" w:space="0" w:color="auto"/>
        <w:bottom w:val="none" w:sz="0" w:space="0" w:color="auto"/>
        <w:right w:val="none" w:sz="0" w:space="0" w:color="auto"/>
      </w:divBdr>
    </w:div>
    <w:div w:id="1452047064">
      <w:bodyDiv w:val="1"/>
      <w:marLeft w:val="0"/>
      <w:marRight w:val="0"/>
      <w:marTop w:val="0"/>
      <w:marBottom w:val="0"/>
      <w:divBdr>
        <w:top w:val="none" w:sz="0" w:space="0" w:color="auto"/>
        <w:left w:val="none" w:sz="0" w:space="0" w:color="auto"/>
        <w:bottom w:val="none" w:sz="0" w:space="0" w:color="auto"/>
        <w:right w:val="none" w:sz="0" w:space="0" w:color="auto"/>
      </w:divBdr>
    </w:div>
    <w:div w:id="1547133354">
      <w:bodyDiv w:val="1"/>
      <w:marLeft w:val="0"/>
      <w:marRight w:val="0"/>
      <w:marTop w:val="0"/>
      <w:marBottom w:val="0"/>
      <w:divBdr>
        <w:top w:val="none" w:sz="0" w:space="0" w:color="auto"/>
        <w:left w:val="none" w:sz="0" w:space="0" w:color="auto"/>
        <w:bottom w:val="none" w:sz="0" w:space="0" w:color="auto"/>
        <w:right w:val="none" w:sz="0" w:space="0" w:color="auto"/>
      </w:divBdr>
    </w:div>
    <w:div w:id="1638803330">
      <w:bodyDiv w:val="1"/>
      <w:marLeft w:val="0"/>
      <w:marRight w:val="0"/>
      <w:marTop w:val="0"/>
      <w:marBottom w:val="0"/>
      <w:divBdr>
        <w:top w:val="none" w:sz="0" w:space="0" w:color="auto"/>
        <w:left w:val="none" w:sz="0" w:space="0" w:color="auto"/>
        <w:bottom w:val="none" w:sz="0" w:space="0" w:color="auto"/>
        <w:right w:val="none" w:sz="0" w:space="0" w:color="auto"/>
      </w:divBdr>
    </w:div>
    <w:div w:id="1644920660">
      <w:bodyDiv w:val="1"/>
      <w:marLeft w:val="0"/>
      <w:marRight w:val="0"/>
      <w:marTop w:val="0"/>
      <w:marBottom w:val="0"/>
      <w:divBdr>
        <w:top w:val="none" w:sz="0" w:space="0" w:color="auto"/>
        <w:left w:val="none" w:sz="0" w:space="0" w:color="auto"/>
        <w:bottom w:val="none" w:sz="0" w:space="0" w:color="auto"/>
        <w:right w:val="none" w:sz="0" w:space="0" w:color="auto"/>
      </w:divBdr>
    </w:div>
    <w:div w:id="1705979380">
      <w:bodyDiv w:val="1"/>
      <w:marLeft w:val="0"/>
      <w:marRight w:val="0"/>
      <w:marTop w:val="0"/>
      <w:marBottom w:val="0"/>
      <w:divBdr>
        <w:top w:val="none" w:sz="0" w:space="0" w:color="auto"/>
        <w:left w:val="none" w:sz="0" w:space="0" w:color="auto"/>
        <w:bottom w:val="none" w:sz="0" w:space="0" w:color="auto"/>
        <w:right w:val="none" w:sz="0" w:space="0" w:color="auto"/>
      </w:divBdr>
    </w:div>
    <w:div w:id="1790396658">
      <w:bodyDiv w:val="1"/>
      <w:marLeft w:val="0"/>
      <w:marRight w:val="0"/>
      <w:marTop w:val="0"/>
      <w:marBottom w:val="0"/>
      <w:divBdr>
        <w:top w:val="none" w:sz="0" w:space="0" w:color="auto"/>
        <w:left w:val="none" w:sz="0" w:space="0" w:color="auto"/>
        <w:bottom w:val="none" w:sz="0" w:space="0" w:color="auto"/>
        <w:right w:val="none" w:sz="0" w:space="0" w:color="auto"/>
      </w:divBdr>
      <w:divsChild>
        <w:div w:id="569340780">
          <w:marLeft w:val="0"/>
          <w:marRight w:val="0"/>
          <w:marTop w:val="0"/>
          <w:marBottom w:val="0"/>
          <w:divBdr>
            <w:top w:val="none" w:sz="0" w:space="0" w:color="auto"/>
            <w:left w:val="none" w:sz="0" w:space="0" w:color="auto"/>
            <w:bottom w:val="none" w:sz="0" w:space="0" w:color="auto"/>
            <w:right w:val="none" w:sz="0" w:space="0" w:color="auto"/>
          </w:divBdr>
          <w:divsChild>
            <w:div w:id="850998046">
              <w:marLeft w:val="0"/>
              <w:marRight w:val="0"/>
              <w:marTop w:val="0"/>
              <w:marBottom w:val="0"/>
              <w:divBdr>
                <w:top w:val="none" w:sz="0" w:space="0" w:color="auto"/>
                <w:left w:val="none" w:sz="0" w:space="0" w:color="auto"/>
                <w:bottom w:val="none" w:sz="0" w:space="0" w:color="auto"/>
                <w:right w:val="none" w:sz="0" w:space="0" w:color="auto"/>
              </w:divBdr>
              <w:divsChild>
                <w:div w:id="14250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234">
          <w:marLeft w:val="0"/>
          <w:marRight w:val="0"/>
          <w:marTop w:val="30"/>
          <w:marBottom w:val="0"/>
          <w:divBdr>
            <w:top w:val="none" w:sz="0" w:space="0" w:color="auto"/>
            <w:left w:val="none" w:sz="0" w:space="0" w:color="auto"/>
            <w:bottom w:val="none" w:sz="0" w:space="0" w:color="auto"/>
            <w:right w:val="none" w:sz="0" w:space="0" w:color="auto"/>
          </w:divBdr>
          <w:divsChild>
            <w:div w:id="41066272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99104482">
      <w:bodyDiv w:val="1"/>
      <w:marLeft w:val="0"/>
      <w:marRight w:val="0"/>
      <w:marTop w:val="0"/>
      <w:marBottom w:val="0"/>
      <w:divBdr>
        <w:top w:val="none" w:sz="0" w:space="0" w:color="auto"/>
        <w:left w:val="none" w:sz="0" w:space="0" w:color="auto"/>
        <w:bottom w:val="none" w:sz="0" w:space="0" w:color="auto"/>
        <w:right w:val="none" w:sz="0" w:space="0" w:color="auto"/>
      </w:divBdr>
    </w:div>
    <w:div w:id="1820732923">
      <w:bodyDiv w:val="1"/>
      <w:marLeft w:val="0"/>
      <w:marRight w:val="0"/>
      <w:marTop w:val="0"/>
      <w:marBottom w:val="0"/>
      <w:divBdr>
        <w:top w:val="none" w:sz="0" w:space="0" w:color="auto"/>
        <w:left w:val="none" w:sz="0" w:space="0" w:color="auto"/>
        <w:bottom w:val="none" w:sz="0" w:space="0" w:color="auto"/>
        <w:right w:val="none" w:sz="0" w:space="0" w:color="auto"/>
      </w:divBdr>
    </w:div>
    <w:div w:id="1841194468">
      <w:bodyDiv w:val="1"/>
      <w:marLeft w:val="0"/>
      <w:marRight w:val="0"/>
      <w:marTop w:val="0"/>
      <w:marBottom w:val="0"/>
      <w:divBdr>
        <w:top w:val="none" w:sz="0" w:space="0" w:color="auto"/>
        <w:left w:val="none" w:sz="0" w:space="0" w:color="auto"/>
        <w:bottom w:val="none" w:sz="0" w:space="0" w:color="auto"/>
        <w:right w:val="none" w:sz="0" w:space="0" w:color="auto"/>
      </w:divBdr>
    </w:div>
    <w:div w:id="1841458704">
      <w:bodyDiv w:val="1"/>
      <w:marLeft w:val="0"/>
      <w:marRight w:val="0"/>
      <w:marTop w:val="0"/>
      <w:marBottom w:val="0"/>
      <w:divBdr>
        <w:top w:val="none" w:sz="0" w:space="0" w:color="auto"/>
        <w:left w:val="none" w:sz="0" w:space="0" w:color="auto"/>
        <w:bottom w:val="none" w:sz="0" w:space="0" w:color="auto"/>
        <w:right w:val="none" w:sz="0" w:space="0" w:color="auto"/>
      </w:divBdr>
    </w:div>
    <w:div w:id="1864511371">
      <w:bodyDiv w:val="1"/>
      <w:marLeft w:val="0"/>
      <w:marRight w:val="0"/>
      <w:marTop w:val="0"/>
      <w:marBottom w:val="0"/>
      <w:divBdr>
        <w:top w:val="none" w:sz="0" w:space="0" w:color="auto"/>
        <w:left w:val="none" w:sz="0" w:space="0" w:color="auto"/>
        <w:bottom w:val="none" w:sz="0" w:space="0" w:color="auto"/>
        <w:right w:val="none" w:sz="0" w:space="0" w:color="auto"/>
      </w:divBdr>
    </w:div>
    <w:div w:id="1923483800">
      <w:bodyDiv w:val="1"/>
      <w:marLeft w:val="0"/>
      <w:marRight w:val="0"/>
      <w:marTop w:val="0"/>
      <w:marBottom w:val="0"/>
      <w:divBdr>
        <w:top w:val="none" w:sz="0" w:space="0" w:color="auto"/>
        <w:left w:val="none" w:sz="0" w:space="0" w:color="auto"/>
        <w:bottom w:val="none" w:sz="0" w:space="0" w:color="auto"/>
        <w:right w:val="none" w:sz="0" w:space="0" w:color="auto"/>
      </w:divBdr>
      <w:divsChild>
        <w:div w:id="1413971429">
          <w:marLeft w:val="0"/>
          <w:marRight w:val="0"/>
          <w:marTop w:val="30"/>
          <w:marBottom w:val="0"/>
          <w:divBdr>
            <w:top w:val="none" w:sz="0" w:space="0" w:color="auto"/>
            <w:left w:val="none" w:sz="0" w:space="0" w:color="auto"/>
            <w:bottom w:val="none" w:sz="0" w:space="0" w:color="auto"/>
            <w:right w:val="none" w:sz="0" w:space="0" w:color="auto"/>
          </w:divBdr>
          <w:divsChild>
            <w:div w:id="15626667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55196861">
          <w:marLeft w:val="0"/>
          <w:marRight w:val="0"/>
          <w:marTop w:val="0"/>
          <w:marBottom w:val="0"/>
          <w:divBdr>
            <w:top w:val="none" w:sz="0" w:space="0" w:color="auto"/>
            <w:left w:val="none" w:sz="0" w:space="0" w:color="auto"/>
            <w:bottom w:val="none" w:sz="0" w:space="0" w:color="auto"/>
            <w:right w:val="none" w:sz="0" w:space="0" w:color="auto"/>
          </w:divBdr>
          <w:divsChild>
            <w:div w:id="1134375221">
              <w:marLeft w:val="0"/>
              <w:marRight w:val="0"/>
              <w:marTop w:val="0"/>
              <w:marBottom w:val="0"/>
              <w:divBdr>
                <w:top w:val="none" w:sz="0" w:space="0" w:color="auto"/>
                <w:left w:val="none" w:sz="0" w:space="0" w:color="auto"/>
                <w:bottom w:val="none" w:sz="0" w:space="0" w:color="auto"/>
                <w:right w:val="none" w:sz="0" w:space="0" w:color="auto"/>
              </w:divBdr>
              <w:divsChild>
                <w:div w:id="14957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47935">
      <w:bodyDiv w:val="1"/>
      <w:marLeft w:val="0"/>
      <w:marRight w:val="0"/>
      <w:marTop w:val="0"/>
      <w:marBottom w:val="0"/>
      <w:divBdr>
        <w:top w:val="none" w:sz="0" w:space="0" w:color="auto"/>
        <w:left w:val="none" w:sz="0" w:space="0" w:color="auto"/>
        <w:bottom w:val="none" w:sz="0" w:space="0" w:color="auto"/>
        <w:right w:val="none" w:sz="0" w:space="0" w:color="auto"/>
      </w:divBdr>
    </w:div>
    <w:div w:id="19828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louds"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comments" Target="comments.xml"/><Relationship Id="rId26" Type="http://schemas.openxmlformats.org/officeDocument/2006/relationships/hyperlink" Target="http://www.kutaisi.gov.ge" TargetMode="External"/><Relationship Id="rId3" Type="http://schemas.openxmlformats.org/officeDocument/2006/relationships/numbering" Target="numbering.xml"/><Relationship Id="rId21" Type="http://schemas.openxmlformats.org/officeDocument/2006/relationships/hyperlink" Target="http://www.mkhileba.gov.ge/"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opengovpartnership.org/explorer" TargetMode="External"/><Relationship Id="rId25"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hyperlink" Target="http://opendata.spa.ge/" TargetMode="External"/><Relationship Id="rId20" Type="http://schemas.openxmlformats.org/officeDocument/2006/relationships/hyperlink" Target="http://info.court.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hyperlink" Target="http://info.court.ge"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opendata.spa.ge/" TargetMode="External"/><Relationship Id="rId27" Type="http://schemas.openxmlformats.org/officeDocument/2006/relationships/hyperlink" Target="http://www.akhaltsikhe.gov.ge"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bit.ly/2O2kIkA" TargetMode="External"/><Relationship Id="rId18" Type="http://schemas.openxmlformats.org/officeDocument/2006/relationships/hyperlink" Target="http://bit.ly/2t2eFxU" TargetMode="External"/><Relationship Id="rId26" Type="http://schemas.openxmlformats.org/officeDocument/2006/relationships/hyperlink" Target="https://bit.ly/2NIr097" TargetMode="External"/><Relationship Id="rId39" Type="http://schemas.openxmlformats.org/officeDocument/2006/relationships/hyperlink" Target="http://oz.gov.ge/ge/pages/view/video" TargetMode="External"/><Relationship Id="rId3" Type="http://schemas.openxmlformats.org/officeDocument/2006/relationships/hyperlink" Target="http://www.opengovpartnership.org/node/5919" TargetMode="External"/><Relationship Id="rId21" Type="http://schemas.openxmlformats.org/officeDocument/2006/relationships/hyperlink" Target="http://bit.ly/2t2eFxU" TargetMode="External"/><Relationship Id="rId34" Type="http://schemas.openxmlformats.org/officeDocument/2006/relationships/hyperlink" Target="https://bit.ly/2SnTK5w" TargetMode="External"/><Relationship Id="rId42" Type="http://schemas.openxmlformats.org/officeDocument/2006/relationships/hyperlink" Target="https://bit.ly/2SCa3M9" TargetMode="External"/><Relationship Id="rId47" Type="http://schemas.openxmlformats.org/officeDocument/2006/relationships/hyperlink" Target="https://bit.ly/2PnoipA" TargetMode="External"/><Relationship Id="rId50" Type="http://schemas.openxmlformats.org/officeDocument/2006/relationships/hyperlink" Target="https://bit.ly/2Q60HGT" TargetMode="External"/><Relationship Id="rId7" Type="http://schemas.openxmlformats.org/officeDocument/2006/relationships/hyperlink" Target="https://bit.ly/2ImC1GV" TargetMode="External"/><Relationship Id="rId12" Type="http://schemas.openxmlformats.org/officeDocument/2006/relationships/hyperlink" Target="https://bit.ly/2QpbADg" TargetMode="External"/><Relationship Id="rId17" Type="http://schemas.openxmlformats.org/officeDocument/2006/relationships/hyperlink" Target="http://bit.ly/2t2eFxU" TargetMode="External"/><Relationship Id="rId25" Type="http://schemas.openxmlformats.org/officeDocument/2006/relationships/hyperlink" Target="http://www.geostat.ge/index.php?action=page&amp;p_id=602&amp;lang=eng" TargetMode="External"/><Relationship Id="rId33" Type="http://schemas.openxmlformats.org/officeDocument/2006/relationships/hyperlink" Target="https://bit.ly/2NIr097" TargetMode="External"/><Relationship Id="rId38" Type="http://schemas.openxmlformats.org/officeDocument/2006/relationships/hyperlink" Target="http://ozurgeti.mun.gov.ge/ge/live" TargetMode="External"/><Relationship Id="rId46" Type="http://schemas.openxmlformats.org/officeDocument/2006/relationships/hyperlink" Target="https://bit.ly/2AtTL0M" TargetMode="External"/><Relationship Id="rId2" Type="http://schemas.openxmlformats.org/officeDocument/2006/relationships/hyperlink" Target="http://www.opengovpartnership.org/about/about-irm" TargetMode="External"/><Relationship Id="rId16" Type="http://schemas.openxmlformats.org/officeDocument/2006/relationships/hyperlink" Target="https://bit.ly/2O80VAj" TargetMode="External"/><Relationship Id="rId20" Type="http://schemas.openxmlformats.org/officeDocument/2006/relationships/hyperlink" Target="http://pog.gov.ge/res/docs/ReportoftheChiefProsecutor2017.pdf" TargetMode="External"/><Relationship Id="rId29" Type="http://schemas.openxmlformats.org/officeDocument/2006/relationships/hyperlink" Target="https://bit.ly/2CPtsUm" TargetMode="External"/><Relationship Id="rId41" Type="http://schemas.openxmlformats.org/officeDocument/2006/relationships/hyperlink" Target="https://bit.ly/2qeXlpM" TargetMode="External"/><Relationship Id="rId1" Type="http://schemas.openxmlformats.org/officeDocument/2006/relationships/hyperlink" Target="https://www.opengovpartnership.org/documents/georgia-action-plan-2018-2019" TargetMode="External"/><Relationship Id="rId6" Type="http://schemas.openxmlformats.org/officeDocument/2006/relationships/hyperlink" Target="https://bit.ly/2R3VOz3" TargetMode="External"/><Relationship Id="rId11" Type="http://schemas.openxmlformats.org/officeDocument/2006/relationships/hyperlink" Target="https://bit.ly/2QqBUgB" TargetMode="External"/><Relationship Id="rId24" Type="http://schemas.openxmlformats.org/officeDocument/2006/relationships/hyperlink" Target="https://bit.ly/2qR4LzV" TargetMode="External"/><Relationship Id="rId32" Type="http://schemas.openxmlformats.org/officeDocument/2006/relationships/hyperlink" Target="http://bit.ly/2t2eFxU" TargetMode="External"/><Relationship Id="rId37" Type="http://schemas.openxmlformats.org/officeDocument/2006/relationships/hyperlink" Target="https://bit.ly/2SCa3M9" TargetMode="External"/><Relationship Id="rId40" Type="http://schemas.openxmlformats.org/officeDocument/2006/relationships/hyperlink" Target="https://bit.ly/2SnTK5w" TargetMode="External"/><Relationship Id="rId45" Type="http://schemas.openxmlformats.org/officeDocument/2006/relationships/hyperlink" Target="https://bit.ly/2Ri8UI2" TargetMode="External"/><Relationship Id="rId5" Type="http://schemas.openxmlformats.org/officeDocument/2006/relationships/hyperlink" Target="https://www.facebook.com/nationalagencyofmines/" TargetMode="External"/><Relationship Id="rId15" Type="http://schemas.openxmlformats.org/officeDocument/2006/relationships/hyperlink" Target="https://bit.ly/1JBkNSe" TargetMode="External"/><Relationship Id="rId23" Type="http://schemas.openxmlformats.org/officeDocument/2006/relationships/hyperlink" Target="https://bit.ly/2OWWbxN" TargetMode="External"/><Relationship Id="rId28" Type="http://schemas.openxmlformats.org/officeDocument/2006/relationships/hyperlink" Target="http://kvira.ge/407472" TargetMode="External"/><Relationship Id="rId36" Type="http://schemas.openxmlformats.org/officeDocument/2006/relationships/hyperlink" Target="http://zugdidi.mun.gov.ge/ge/petitions" TargetMode="External"/><Relationship Id="rId49" Type="http://schemas.openxmlformats.org/officeDocument/2006/relationships/hyperlink" Target="https://bit.ly/2P29W9B" TargetMode="External"/><Relationship Id="rId10" Type="http://schemas.openxmlformats.org/officeDocument/2006/relationships/hyperlink" Target="http://bit.ly/1Lo3Pbg" TargetMode="External"/><Relationship Id="rId19" Type="http://schemas.openxmlformats.org/officeDocument/2006/relationships/hyperlink" Target="http://greenalt.org/wp-content/uploads/2018/12/EIA_policy_brief_2018_FINAL_ENG.pdf" TargetMode="External"/><Relationship Id="rId31" Type="http://schemas.openxmlformats.org/officeDocument/2006/relationships/hyperlink" Target="http://pog.gov.ge/res/docs/saqartvelosprokuratuirsstrategia.pdf" TargetMode="External"/><Relationship Id="rId44" Type="http://schemas.openxmlformats.org/officeDocument/2006/relationships/hyperlink" Target="https://bit.ly/2NIr097" TargetMode="External"/><Relationship Id="rId4" Type="http://schemas.openxmlformats.org/officeDocument/2006/relationships/hyperlink" Target="https://bit.ly/2DB8lHk" TargetMode="External"/><Relationship Id="rId9" Type="http://schemas.openxmlformats.org/officeDocument/2006/relationships/hyperlink" Target="http://bit.ly/1Lo3Pbg" TargetMode="External"/><Relationship Id="rId14" Type="http://schemas.openxmlformats.org/officeDocument/2006/relationships/hyperlink" Target="https://bit.ly/2zS3E8i" TargetMode="External"/><Relationship Id="rId22" Type="http://schemas.openxmlformats.org/officeDocument/2006/relationships/hyperlink" Target="https://bit.ly/2NIr097" TargetMode="External"/><Relationship Id="rId27" Type="http://schemas.openxmlformats.org/officeDocument/2006/relationships/hyperlink" Target="http://pog.gov.ge/geo/news?info_id=1555" TargetMode="External"/><Relationship Id="rId30" Type="http://schemas.openxmlformats.org/officeDocument/2006/relationships/hyperlink" Target="https://bit.ly/2Q83H5s" TargetMode="External"/><Relationship Id="rId35" Type="http://schemas.openxmlformats.org/officeDocument/2006/relationships/hyperlink" Target="https://bit.ly/2SCa3M9" TargetMode="External"/><Relationship Id="rId43" Type="http://schemas.openxmlformats.org/officeDocument/2006/relationships/hyperlink" Target="https://bit.ly/2DkfzQ2" TargetMode="External"/><Relationship Id="rId48" Type="http://schemas.openxmlformats.org/officeDocument/2006/relationships/hyperlink" Target="https://bit.ly/2yILd54" TargetMode="External"/><Relationship Id="rId8" Type="http://schemas.openxmlformats.org/officeDocument/2006/relationships/hyperlink" Target="https://bit.ly/2QqBUgB" TargetMode="External"/><Relationship Id="rId51" Type="http://schemas.openxmlformats.org/officeDocument/2006/relationships/hyperlink" Target="https://bit.ly/2PPUsL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B2A76-9991-4FE4-882A-84E48966259F}">
  <ds:schemaRefs>
    <ds:schemaRef ds:uri="http://schemas.openxmlformats.org/officeDocument/2006/bibliography"/>
  </ds:schemaRefs>
</ds:datastoreItem>
</file>

<file path=customXml/itemProps2.xml><?xml version="1.0" encoding="utf-8"?>
<ds:datastoreItem xmlns:ds="http://schemas.openxmlformats.org/officeDocument/2006/customXml" ds:itemID="{F5A457E0-53EC-4BB7-BDC5-2EC9EC79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94</Pages>
  <Words>28655</Words>
  <Characters>163335</Characters>
  <Application>Microsoft Office Word</Application>
  <DocSecurity>8</DocSecurity>
  <Lines>1361</Lines>
  <Paragraphs>383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Unknown</Company>
  <LinksUpToDate>false</LinksUpToDate>
  <CharactersWithSpaces>191607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Zinta</dc:creator>
  <cp:lastModifiedBy>Ketevan Goginashvili</cp:lastModifiedBy>
  <cp:revision>2</cp:revision>
  <cp:lastPrinted>2015-07-27T07:13:00Z</cp:lastPrinted>
  <dcterms:created xsi:type="dcterms:W3CDTF">2019-05-10T09:01:00Z</dcterms:created>
  <dcterms:modified xsi:type="dcterms:W3CDTF">2019-05-10T09:01:00Z</dcterms:modified>
</cp:coreProperties>
</file>